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4f282" w14:textId="914f2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решение Акмолинского областного маслихата от 10 апреля 2019 года № 6С-31-7 "Об определении перечня социально значимых сообщений по Акмолинской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Акмолинского областного маслихата от 17 июня 2022 года № 7С-18-4. Зарегистрировано в Министерстве юстиции Республики Казахстан 20 июня 2022 года № 28526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Акмолинский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Акмолинского областного маслихата "Об определении перечня социально значимых сообщений по Акмолинской области" от 10 апреля 2019 года № 6С-31-7 (зарегистрировано в Реестре государственной регистрации нормативных правовых актов под № 7128) следующие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 значимых сообщений по Акмолинской области, утверждҰнный указанным решением: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56-3 и 56-4,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56-3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"Степняк – Каратал"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56-4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"Степняк – Валиханово"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62,1, 62-2 и 62-3,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 № 21 города Щучинск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пригородный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62-2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 № 22 города Щучинск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62-3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 № 26 города Щучинск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разделом "Межрайонный (междугородный внутриобластной)"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Межрайонный (междугородный внутриобластной)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"Кокшетау – Есиль"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межрайонный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"Кокшетау – Жаксы – Державинск"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"Кокшетау – Енбекшильдерское"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"Кокшетау – Улан – Мадениет"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"Кокшетау – Астраханка"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"Кокшетау – Степняк"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"Степногорск – Акколь"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межрайонный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Акмолинского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Т.Жунусов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