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defc" w14:textId="c80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декабря 2022 года № 534. Зарегистрирован в Министерстве юстиции Республики Казахстан 5 января 2023 года № 31563.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 (зарегистрирован в Реестре государственной регистрации нормативных правовых актов под № 13085)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Требованиях используется следующее основное понятие: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Требований –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советов (попечительский совет, родительский комитет, школьное самоуправление) в соблюдении светского характера обучения.";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Школьная форма для мальчиков включает: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брюки, парадную рубашку, повседневную рубашку, либо трикотажную кофту/кардиган на пуговицах или замке, рубашку поло или тенниску (зимний период: трикотажный жилет, водолазку). Брюки для мальчиков свободного кроя и по длине закрывают щиколотки ног.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Школьная форма для девочек включает: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пиджак, жилет, юбку, брюки, классическую блузку, либо трикотажную кофту/кардиган на пуговицах или замке, рубашку поло или тенниску (зимний период: трикотажный жилет, сарафан, водолазку). Брюки для девочек свободного кроя и по длине закрывают щиколотки ног.";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На школьной форме допускается размещение отличительных знаков (эмблема, нашивка, шеврон и другие) организаций среднего образования.";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качестве тканей для школьной формы желательно использовать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Родители и иные законные представители детей, члены школьного самоуправления, попечительского совета и родительского комитета участвуют в обсуждении вопросов школьной формы и вносят свои предложения в соответствии с настоящими Требованиями.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фасона школьной формы и длины юбки определяется организацией среднего образования и советом (попечительский совет, родительский комитет, школьное самоуправление), утверждается протоколом общешкольного родительского собрания.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Введение изменений в школьную форму принимается по согласованию с советом (попечительский совет, родительский комитет, школьное самоуправление).";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Руководитель организации среднего образования (далее - Руководитель) и совет (попечительский совет, родительский комитет, школьное самоуправление) при введении обязательной школьной формы руководствуются настоящими Требованиями.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Родители и иные законные представители детей приобретают школьную форму через действующую торговую сеть.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Органы управления образованием области, города республиканского значения, столицы, района (города областного значения) (далее – Органы управления) рекомендуют родителям приобретение школьной формы у отечественных производителей. Органам управления не допускается оказание предпочтения отдельным производителям школьной формы.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школьной формы родители самостоятельны в выборе ее производителя.";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