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84cc3" w14:textId="3f84c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30 декабря 2022 года № 762. Зарегистрирован в Министерстве юстиции Республики Казахстан 4 января 2023 года № 31542.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и дополнения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2022 года № 762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 и дополнения</w:t>
      </w:r>
    </w:p>
    <w:bookmarkEnd w:id="9"/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bookmarkStart w:name="z4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/>
          <w:color w:val="000000"/>
          <w:sz w:val="28"/>
        </w:rPr>
        <w:t xml:space="preserve">Утратил силу приказом Министра промышленности и строительства РК от 29 июня 2026 года </w:t>
      </w:r>
      <w:r>
        <w:rPr>
          <w:rFonts w:ascii="Times New Roman"/>
          <w:b w:val="false"/>
          <w:i w:val="false"/>
          <w:color w:val="000000"/>
          <w:sz w:val="28"/>
        </w:rPr>
        <w:t>№ 337</w:t>
      </w:r>
      <w:r>
        <w:rPr>
          <w:rFonts w:ascii="Times New Roman"/>
          <w:b w:val="false"/>
          <w:i/>
          <w:color w:val="000000"/>
          <w:sz w:val="28"/>
        </w:rPr>
        <w:t xml:space="preserve"> (вводится в действие с 01.07.2026)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