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d67d46" w14:textId="fd67d4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некоторые совместные приказы</w:t>
      </w:r>
    </w:p>
    <w:p>
      <w:pPr>
        <w:spacing w:after="0"/>
        <w:ind w:left="0"/>
        <w:jc w:val="both"/>
      </w:pPr>
      <w:r>
        <w:rPr>
          <w:rFonts w:ascii="Times New Roman"/>
          <w:b w:val="false"/>
          <w:i w:val="false"/>
          <w:color w:val="000000"/>
          <w:sz w:val="28"/>
        </w:rPr>
        <w:t>Совместный приказ и.о. Министра торговли и интеграции Республики Казахстан от 30 декабря 2022 года № 518-НҚ и Министра национальной экономики Республики Казахстан от 30 декабря 2022 года № 142. Зарегистрирован в Министерстве юстиции Республики Казахстан 31 декабря 2022 года № 31524.</w:t>
      </w:r>
    </w:p>
    <w:p>
      <w:pPr>
        <w:spacing w:after="0"/>
        <w:ind w:left="0"/>
        <w:jc w:val="both"/>
      </w:pPr>
      <w:r>
        <w:rPr>
          <w:rFonts w:ascii="Times New Roman"/>
          <w:b w:val="false"/>
          <w:i w:val="false"/>
          <w:color w:val="000000"/>
          <w:sz w:val="28"/>
        </w:rPr>
        <w:t>
</w:t>
      </w:r>
      <w:r>
        <w:rPr>
          <w:rFonts w:ascii="Times New Roman"/>
          <w:b w:val="false"/>
          <w:i w:val="false"/>
          <w:color w:val="ff0000"/>
          <w:sz w:val="28"/>
        </w:rPr>
        <w:t>      Примечание ИЗПИ!</w:t>
      </w:r>
    </w:p>
    <w:p>
      <w:pPr>
        <w:spacing w:after="0"/>
        <w:ind w:left="0"/>
        <w:jc w:val="both"/>
      </w:pPr>
      <w:r>
        <w:rPr>
          <w:rFonts w:ascii="Times New Roman"/>
          <w:b w:val="false"/>
          <w:i w:val="false"/>
          <w:color w:val="ff0000"/>
          <w:sz w:val="28"/>
        </w:rPr>
        <w:t>      Вводится в действие с 01.01.2023</w:t>
      </w:r>
    </w:p>
    <w:bookmarkStart w:name="z4" w:id="0"/>
    <w:p>
      <w:pPr>
        <w:spacing w:after="0"/>
        <w:ind w:left="0"/>
        <w:jc w:val="both"/>
      </w:pPr>
      <w:r>
        <w:rPr>
          <w:rFonts w:ascii="Times New Roman"/>
          <w:b w:val="false"/>
          <w:i w:val="false"/>
          <w:color w:val="000000"/>
          <w:sz w:val="28"/>
        </w:rPr>
        <w:t>
      ПРИКАЗЫВАЕМ:</w:t>
      </w:r>
    </w:p>
    <w:bookmarkEnd w:id="0"/>
    <w:bookmarkStart w:name="z5" w:id="1"/>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некоторых совместных приказов, в которые вносятся изменения и дополнения.</w:t>
      </w:r>
    </w:p>
    <w:bookmarkEnd w:id="1"/>
    <w:bookmarkStart w:name="z6" w:id="2"/>
    <w:p>
      <w:pPr>
        <w:spacing w:after="0"/>
        <w:ind w:left="0"/>
        <w:jc w:val="both"/>
      </w:pPr>
      <w:r>
        <w:rPr>
          <w:rFonts w:ascii="Times New Roman"/>
          <w:b w:val="false"/>
          <w:i w:val="false"/>
          <w:color w:val="000000"/>
          <w:sz w:val="28"/>
        </w:rPr>
        <w:t>
      2. Комитету технического регулирования и метрологии Министерства торговли и интеграции Республики Казахстан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государственную регистрацию настоящего совместного приказа в Министерстве юстиции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совместного приказа на интернет-ресурсе Министерства торговли и интеграции Республики Казахстан.</w:t>
      </w:r>
    </w:p>
    <w:bookmarkEnd w:id="4"/>
    <w:bookmarkStart w:name="z9" w:id="5"/>
    <w:p>
      <w:pPr>
        <w:spacing w:after="0"/>
        <w:ind w:left="0"/>
        <w:jc w:val="both"/>
      </w:pPr>
      <w:r>
        <w:rPr>
          <w:rFonts w:ascii="Times New Roman"/>
          <w:b w:val="false"/>
          <w:i w:val="false"/>
          <w:color w:val="000000"/>
          <w:sz w:val="28"/>
        </w:rPr>
        <w:t>
      3. Контроль за исполнением настоящего совместного приказа возложить на курирующего вице-министра торговли и интеграции Республики Казахстан.</w:t>
      </w:r>
    </w:p>
    <w:bookmarkEnd w:id="5"/>
    <w:bookmarkStart w:name="z10" w:id="6"/>
    <w:p>
      <w:pPr>
        <w:spacing w:after="0"/>
        <w:ind w:left="0"/>
        <w:jc w:val="both"/>
      </w:pPr>
      <w:r>
        <w:rPr>
          <w:rFonts w:ascii="Times New Roman"/>
          <w:b w:val="false"/>
          <w:i w:val="false"/>
          <w:color w:val="000000"/>
          <w:sz w:val="28"/>
        </w:rPr>
        <w:t>
      4. Настоящий совместный приказ вводится в действие с 1 января 2023 года и подлежит официальному опубликованию.</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национальной экономики</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Куантыров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p>
          <w:p>
            <w:pPr>
              <w:spacing w:after="20"/>
              <w:ind w:left="20"/>
              <w:jc w:val="both"/>
            </w:pPr>
          </w:p>
          <w:p>
            <w:pPr>
              <w:spacing w:after="20"/>
              <w:ind w:left="20"/>
              <w:jc w:val="both"/>
            </w:pPr>
            <w:r>
              <w:rPr>
                <w:rFonts w:ascii="Times New Roman"/>
                <w:b w:val="false"/>
                <w:i/>
                <w:color w:val="000000"/>
                <w:sz w:val="20"/>
              </w:rPr>
              <w:t>Министра торговли и интеграции</w:t>
            </w: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__________ А. Шаккалиев</w:t>
            </w:r>
            <w:r>
              <w:rPr>
                <w:rFonts w:ascii="Times New Roman"/>
                <w:b w:val="false"/>
                <w:i w:val="false"/>
                <w:color w:val="000000"/>
                <w:sz w:val="20"/>
              </w:rPr>
              <w:t>
</w:t>
            </w:r>
          </w:p>
        </w:tc>
      </w:tr>
    </w:tbl>
    <w:p>
      <w:pPr>
        <w:spacing w:after="0"/>
        <w:ind w:left="0"/>
        <w:jc w:val="both"/>
      </w:pPr>
      <w:bookmarkStart w:name="z13" w:id="7"/>
      <w:r>
        <w:rPr>
          <w:rFonts w:ascii="Times New Roman"/>
          <w:b w:val="false"/>
          <w:i w:val="false"/>
          <w:color w:val="000000"/>
          <w:sz w:val="28"/>
        </w:rPr>
        <w:t>
      "СОГЛАСОВАН"</w:t>
      </w:r>
    </w:p>
    <w:bookmarkEnd w:id="7"/>
    <w:p>
      <w:pPr>
        <w:spacing w:after="0"/>
        <w:ind w:left="0"/>
        <w:jc w:val="both"/>
      </w:pPr>
      <w:r>
        <w:rPr>
          <w:rFonts w:ascii="Times New Roman"/>
          <w:b w:val="false"/>
          <w:i w:val="false"/>
          <w:color w:val="000000"/>
          <w:sz w:val="28"/>
        </w:rPr>
        <w:t>Комитет по правовой cтатистике</w:t>
      </w:r>
    </w:p>
    <w:p>
      <w:pPr>
        <w:spacing w:after="0"/>
        <w:ind w:left="0"/>
        <w:jc w:val="both"/>
      </w:pPr>
      <w:r>
        <w:rPr>
          <w:rFonts w:ascii="Times New Roman"/>
          <w:b w:val="false"/>
          <w:i w:val="false"/>
          <w:color w:val="000000"/>
          <w:sz w:val="28"/>
        </w:rPr>
        <w:t>и специальным учетам</w:t>
      </w:r>
    </w:p>
    <w:p>
      <w:pPr>
        <w:spacing w:after="0"/>
        <w:ind w:left="0"/>
        <w:jc w:val="both"/>
      </w:pPr>
      <w:r>
        <w:rPr>
          <w:rFonts w:ascii="Times New Roman"/>
          <w:b w:val="false"/>
          <w:i w:val="false"/>
          <w:color w:val="000000"/>
          <w:sz w:val="28"/>
        </w:rPr>
        <w:t>Генеральной прокуратуры</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w:t>
            </w:r>
            <w:r>
              <w:br/>
            </w:r>
            <w:r>
              <w:rPr>
                <w:rFonts w:ascii="Times New Roman"/>
                <w:b w:val="false"/>
                <w:i w:val="false"/>
                <w:color w:val="000000"/>
                <w:sz w:val="20"/>
              </w:rPr>
              <w:t>совместным приказом</w:t>
            </w:r>
          </w:p>
        </w:tc>
      </w:tr>
    </w:tbl>
    <w:bookmarkStart w:name="z15" w:id="8"/>
    <w:p>
      <w:pPr>
        <w:spacing w:after="0"/>
        <w:ind w:left="0"/>
        <w:jc w:val="left"/>
      </w:pPr>
      <w:r>
        <w:rPr>
          <w:rFonts w:ascii="Times New Roman"/>
          <w:b/>
          <w:i w:val="false"/>
          <w:color w:val="000000"/>
        </w:rPr>
        <w:t xml:space="preserve"> Перечень некоторых совместных приказов, в которые вносятся изменения и дополнения</w:t>
      </w:r>
    </w:p>
    <w:bookmarkEnd w:id="8"/>
    <w:bookmarkStart w:name="z16" w:id="9"/>
    <w:p>
      <w:pPr>
        <w:spacing w:after="0"/>
        <w:ind w:left="0"/>
        <w:jc w:val="both"/>
      </w:pPr>
      <w:r>
        <w:rPr>
          <w:rFonts w:ascii="Times New Roman"/>
          <w:b w:val="false"/>
          <w:i w:val="false"/>
          <w:color w:val="000000"/>
          <w:sz w:val="28"/>
        </w:rPr>
        <w:t xml:space="preserve">
      1. В </w:t>
      </w:r>
      <w:r>
        <w:rPr>
          <w:rFonts w:ascii="Times New Roman"/>
          <w:b w:val="false"/>
          <w:i w:val="false"/>
          <w:color w:val="000000"/>
          <w:sz w:val="28"/>
        </w:rPr>
        <w:t>совместном приказе</w:t>
      </w:r>
      <w:r>
        <w:rPr>
          <w:rFonts w:ascii="Times New Roman"/>
          <w:b w:val="false"/>
          <w:i w:val="false"/>
          <w:color w:val="000000"/>
          <w:sz w:val="28"/>
        </w:rPr>
        <w:t xml:space="preserve"> исполняющего обязанности Министра по инвестициям и развитию Республики Казахстан от 14 декабря 2015 года № 1199 и Министра национальной экономики Республики Казахстан от 29 декабря 2015 года № 826 "Об утверждении критериев оценки степени риска и проверочных листов в области технического регулирования" (зарегистрирован в Реестре государственной регистрации нормативных правовых актов под № 12735):</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изложить в следующей редакции:</w:t>
      </w:r>
    </w:p>
    <w:bookmarkStart w:name="z18" w:id="1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и </w:t>
      </w:r>
      <w:r>
        <w:rPr>
          <w:rFonts w:ascii="Times New Roman"/>
          <w:b w:val="false"/>
          <w:i w:val="false"/>
          <w:color w:val="000000"/>
          <w:sz w:val="28"/>
        </w:rPr>
        <w:t>подпунктом 16)</w:t>
      </w:r>
      <w:r>
        <w:rPr>
          <w:rFonts w:ascii="Times New Roman"/>
          <w:b w:val="false"/>
          <w:i w:val="false"/>
          <w:color w:val="000000"/>
          <w:sz w:val="28"/>
        </w:rPr>
        <w:t xml:space="preserve"> пункта 1 статьи 7 Закона Республики Казахстан "О техническом регулировании" </w:t>
      </w:r>
      <w:r>
        <w:rPr>
          <w:rFonts w:ascii="Times New Roman"/>
          <w:b/>
          <w:i w:val="false"/>
          <w:color w:val="000000"/>
          <w:sz w:val="28"/>
        </w:rPr>
        <w:t>ПРИКАЗЫВАЕМ</w:t>
      </w:r>
      <w:r>
        <w:rPr>
          <w:rFonts w:ascii="Times New Roman"/>
          <w:b w:val="false"/>
          <w:i w:val="false"/>
          <w:color w:val="000000"/>
          <w:sz w:val="28"/>
        </w:rPr>
        <w:t>:";</w:t>
      </w:r>
    </w:p>
    <w:bookmarkEnd w:id="10"/>
    <w:bookmarkStart w:name="z19" w:id="11"/>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пункте 1</w:t>
      </w:r>
      <w:r>
        <w:rPr>
          <w:rFonts w:ascii="Times New Roman"/>
          <w:b w:val="false"/>
          <w:i w:val="false"/>
          <w:color w:val="000000"/>
          <w:sz w:val="28"/>
        </w:rPr>
        <w:t>:</w:t>
      </w:r>
    </w:p>
    <w:bookmarkEnd w:id="11"/>
    <w:bookmarkStart w:name="z20" w:id="12"/>
    <w:p>
      <w:pPr>
        <w:spacing w:after="0"/>
        <w:ind w:left="0"/>
        <w:jc w:val="both"/>
      </w:pPr>
      <w:r>
        <w:rPr>
          <w:rFonts w:ascii="Times New Roman"/>
          <w:b w:val="false"/>
          <w:i w:val="false"/>
          <w:color w:val="000000"/>
          <w:sz w:val="28"/>
        </w:rPr>
        <w:t>
      дополнить подпунктом 2-1) следующего содержания:</w:t>
      </w:r>
    </w:p>
    <w:bookmarkEnd w:id="12"/>
    <w:bookmarkStart w:name="z21" w:id="13"/>
    <w:p>
      <w:pPr>
        <w:spacing w:after="0"/>
        <w:ind w:left="0"/>
        <w:jc w:val="both"/>
      </w:pPr>
      <w:r>
        <w:rPr>
          <w:rFonts w:ascii="Times New Roman"/>
          <w:b w:val="false"/>
          <w:i w:val="false"/>
          <w:color w:val="000000"/>
          <w:sz w:val="28"/>
        </w:rPr>
        <w:t>
      "2-1) проверочный лист в области технического регулирования в отношении изготовителя государственных символов Республики Казахстан согласно приложению 2-1 к настоящему совместному приказу;";</w:t>
      </w:r>
    </w:p>
    <w:bookmarkEnd w:id="13"/>
    <w:bookmarkStart w:name="z22" w:id="14"/>
    <w:p>
      <w:pPr>
        <w:spacing w:after="0"/>
        <w:ind w:left="0"/>
        <w:jc w:val="both"/>
      </w:pPr>
      <w:r>
        <w:rPr>
          <w:rFonts w:ascii="Times New Roman"/>
          <w:b w:val="false"/>
          <w:i w:val="false"/>
          <w:color w:val="000000"/>
          <w:sz w:val="28"/>
        </w:rPr>
        <w:t>
      дополнить подпунктами 6) и 7) следущего содержания:</w:t>
      </w:r>
    </w:p>
    <w:bookmarkEnd w:id="14"/>
    <w:bookmarkStart w:name="z23" w:id="15"/>
    <w:p>
      <w:pPr>
        <w:spacing w:after="0"/>
        <w:ind w:left="0"/>
        <w:jc w:val="both"/>
      </w:pPr>
      <w:r>
        <w:rPr>
          <w:rFonts w:ascii="Times New Roman"/>
          <w:b w:val="false"/>
          <w:i w:val="false"/>
          <w:color w:val="000000"/>
          <w:sz w:val="28"/>
        </w:rPr>
        <w:t>
      "6) проверочный лист в области технического регулирования в отношении органа по подтверждению соответствия и испытательной лаборатории (центра) согласно приложению 6 к настоящему совместному приказу;</w:t>
      </w:r>
    </w:p>
    <w:bookmarkEnd w:id="15"/>
    <w:bookmarkStart w:name="z24" w:id="16"/>
    <w:p>
      <w:pPr>
        <w:spacing w:after="0"/>
        <w:ind w:left="0"/>
        <w:jc w:val="both"/>
      </w:pPr>
      <w:r>
        <w:rPr>
          <w:rFonts w:ascii="Times New Roman"/>
          <w:b w:val="false"/>
          <w:i w:val="false"/>
          <w:color w:val="000000"/>
          <w:sz w:val="28"/>
        </w:rPr>
        <w:t>
      7) правоограничительные меры оперативного реагирования согласно приложению 7 к настоящему совместному приказу.";</w:t>
      </w:r>
    </w:p>
    <w:bookmarkEnd w:id="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настоящему совместному приказу;</w:t>
      </w:r>
    </w:p>
    <w:bookmarkStart w:name="z26" w:id="17"/>
    <w:p>
      <w:pPr>
        <w:spacing w:after="0"/>
        <w:ind w:left="0"/>
        <w:jc w:val="both"/>
      </w:pPr>
      <w:r>
        <w:rPr>
          <w:rFonts w:ascii="Times New Roman"/>
          <w:b w:val="false"/>
          <w:i w:val="false"/>
          <w:color w:val="000000"/>
          <w:sz w:val="28"/>
        </w:rPr>
        <w:t xml:space="preserve">
      дополнить приложениями 2-1, 6 и 7 согласно </w:t>
      </w:r>
      <w:r>
        <w:rPr>
          <w:rFonts w:ascii="Times New Roman"/>
          <w:b w:val="false"/>
          <w:i w:val="false"/>
          <w:color w:val="000000"/>
          <w:sz w:val="28"/>
        </w:rPr>
        <w:t>приложениям 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и </w:t>
      </w:r>
      <w:r>
        <w:rPr>
          <w:rFonts w:ascii="Times New Roman"/>
          <w:b w:val="false"/>
          <w:i w:val="false"/>
          <w:color w:val="000000"/>
          <w:sz w:val="28"/>
        </w:rPr>
        <w:t>8</w:t>
      </w:r>
      <w:r>
        <w:rPr>
          <w:rFonts w:ascii="Times New Roman"/>
          <w:b w:val="false"/>
          <w:i w:val="false"/>
          <w:color w:val="000000"/>
          <w:sz w:val="28"/>
        </w:rPr>
        <w:t xml:space="preserve"> к настоящему совместному приказу.</w:t>
      </w:r>
    </w:p>
    <w:bookmarkEnd w:id="17"/>
    <w:bookmarkStart w:name="z27" w:id="18"/>
    <w:p>
      <w:pPr>
        <w:spacing w:after="0"/>
        <w:ind w:left="0"/>
        <w:jc w:val="both"/>
      </w:pPr>
      <w:r>
        <w:rPr>
          <w:rFonts w:ascii="Times New Roman"/>
          <w:b w:val="false"/>
          <w:i w:val="false"/>
          <w:color w:val="000000"/>
          <w:sz w:val="28"/>
        </w:rPr>
        <w:t xml:space="preserve">
      2. В </w:t>
      </w:r>
      <w:r>
        <w:rPr>
          <w:rFonts w:ascii="Times New Roman"/>
          <w:b w:val="false"/>
          <w:i w:val="false"/>
          <w:color w:val="000000"/>
          <w:sz w:val="28"/>
        </w:rPr>
        <w:t>совместном приказе</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14 марта 2022 года № 139-НҚ и Министра национальной экономики Республики Казахстан от 15 марта 2022 года № 24 "Об утверждении критериев оценки степени риска и проверочных листов в области обеспечения единства измерений" (зарегистрирован в Реестре государственной регистрации нормативных правовых актов за № 27172): </w:t>
      </w:r>
    </w:p>
    <w:bookmarkEnd w:id="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совместного приказа изложить в следующей редакции:</w:t>
      </w:r>
    </w:p>
    <w:bookmarkStart w:name="z29" w:id="1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9</w:t>
      </w:r>
      <w:r>
        <w:rPr>
          <w:rFonts w:ascii="Times New Roman"/>
          <w:b w:val="false"/>
          <w:i w:val="false"/>
          <w:color w:val="000000"/>
          <w:sz w:val="28"/>
        </w:rPr>
        <w:t xml:space="preserve"> к настоящему совместному приказу;</w:t>
      </w:r>
    </w:p>
    <w:bookmarkStart w:name="z31" w:id="2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критериям оценки степени риска для отбора субъектов (объектов) контроля в области обеспечения единства измерений:</w:t>
      </w:r>
    </w:p>
    <w:bookmarkEnd w:id="20"/>
    <w:bookmarkStart w:name="z32" w:id="21"/>
    <w:p>
      <w:pPr>
        <w:spacing w:after="0"/>
        <w:ind w:left="0"/>
        <w:jc w:val="both"/>
      </w:pPr>
      <w:r>
        <w:rPr>
          <w:rFonts w:ascii="Times New Roman"/>
          <w:b w:val="false"/>
          <w:i w:val="false"/>
          <w:color w:val="000000"/>
          <w:sz w:val="28"/>
        </w:rPr>
        <w:t>
      строку, порядковый номер 8, исключить;</w:t>
      </w:r>
    </w:p>
    <w:bookmarkEnd w:id="21"/>
    <w:bookmarkStart w:name="z33" w:id="22"/>
    <w:p>
      <w:pPr>
        <w:spacing w:after="0"/>
        <w:ind w:left="0"/>
        <w:jc w:val="both"/>
      </w:pPr>
      <w:r>
        <w:rPr>
          <w:rFonts w:ascii="Times New Roman"/>
          <w:b w:val="false"/>
          <w:i w:val="false"/>
          <w:color w:val="000000"/>
          <w:sz w:val="28"/>
        </w:rPr>
        <w:t>
      строку, порядковый номер 10, исключить;</w:t>
      </w:r>
    </w:p>
    <w:bookmarkEnd w:id="22"/>
    <w:bookmarkStart w:name="z34" w:id="23"/>
    <w:p>
      <w:pPr>
        <w:spacing w:after="0"/>
        <w:ind w:left="0"/>
        <w:jc w:val="both"/>
      </w:pPr>
      <w:r>
        <w:rPr>
          <w:rFonts w:ascii="Times New Roman"/>
          <w:b w:val="false"/>
          <w:i w:val="false"/>
          <w:color w:val="000000"/>
          <w:sz w:val="28"/>
        </w:rPr>
        <w:t>
      строки, порядковые номера 24 и 25, исключить;</w:t>
      </w:r>
    </w:p>
    <w:bookmarkEnd w:id="23"/>
    <w:bookmarkStart w:name="z35" w:id="24"/>
    <w:p>
      <w:pPr>
        <w:spacing w:after="0"/>
        <w:ind w:left="0"/>
        <w:jc w:val="both"/>
      </w:pPr>
      <w:r>
        <w:rPr>
          <w:rFonts w:ascii="Times New Roman"/>
          <w:b w:val="false"/>
          <w:i w:val="false"/>
          <w:color w:val="000000"/>
          <w:sz w:val="28"/>
        </w:rPr>
        <w:t>
      строку, порядковый номер 27, исключить;</w:t>
      </w:r>
    </w:p>
    <w:bookmarkEnd w:id="24"/>
    <w:bookmarkStart w:name="z36" w:id="25"/>
    <w:p>
      <w:pPr>
        <w:spacing w:after="0"/>
        <w:ind w:left="0"/>
        <w:jc w:val="both"/>
      </w:pPr>
      <w:r>
        <w:rPr>
          <w:rFonts w:ascii="Times New Roman"/>
          <w:b w:val="false"/>
          <w:i w:val="false"/>
          <w:color w:val="000000"/>
          <w:sz w:val="28"/>
        </w:rPr>
        <w:t>
      строки, порядковые номера 32 и 33, исключить;</w:t>
      </w:r>
    </w:p>
    <w:bookmarkEnd w:id="25"/>
    <w:bookmarkStart w:name="z37" w:id="26"/>
    <w:p>
      <w:pPr>
        <w:spacing w:after="0"/>
        <w:ind w:left="0"/>
        <w:jc w:val="both"/>
      </w:pPr>
      <w:r>
        <w:rPr>
          <w:rFonts w:ascii="Times New Roman"/>
          <w:b w:val="false"/>
          <w:i w:val="false"/>
          <w:color w:val="000000"/>
          <w:sz w:val="28"/>
        </w:rPr>
        <w:t>
      строки, порядковые номера 40 и 41, исключить;</w:t>
      </w:r>
    </w:p>
    <w:bookmarkEnd w:id="26"/>
    <w:bookmarkStart w:name="z38" w:id="27"/>
    <w:p>
      <w:pPr>
        <w:spacing w:after="0"/>
        <w:ind w:left="0"/>
        <w:jc w:val="both"/>
      </w:pPr>
      <w:r>
        <w:rPr>
          <w:rFonts w:ascii="Times New Roman"/>
          <w:b w:val="false"/>
          <w:i w:val="false"/>
          <w:color w:val="000000"/>
          <w:sz w:val="28"/>
        </w:rPr>
        <w:t>
      строку, порядковый номер 52, исключить;</w:t>
      </w:r>
    </w:p>
    <w:bookmarkEnd w:id="27"/>
    <w:bookmarkStart w:name="z39" w:id="28"/>
    <w:p>
      <w:pPr>
        <w:spacing w:after="0"/>
        <w:ind w:left="0"/>
        <w:jc w:val="both"/>
      </w:pPr>
      <w:r>
        <w:rPr>
          <w:rFonts w:ascii="Times New Roman"/>
          <w:b w:val="false"/>
          <w:i w:val="false"/>
          <w:color w:val="000000"/>
          <w:sz w:val="28"/>
        </w:rPr>
        <w:t>
      строку, порядковый номер 53, изложить в следующей редакции:</w:t>
      </w:r>
    </w:p>
    <w:bookmarkEnd w:id="28"/>
    <w:bookmarkStart w:name="z40" w:id="29"/>
    <w:p>
      <w:pPr>
        <w:spacing w:after="0"/>
        <w:ind w:left="0"/>
        <w:jc w:val="both"/>
      </w:pPr>
      <w:r>
        <w:rPr>
          <w:rFonts w:ascii="Times New Roman"/>
          <w:b w:val="false"/>
          <w:i w:val="false"/>
          <w:color w:val="000000"/>
          <w:sz w:val="28"/>
        </w:rPr>
        <w:t>
      "</w:t>
      </w:r>
    </w:p>
    <w:bookmarkEnd w:id="2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поверки на средства измерений, прошедшие испытания для целей утверждения типа и на соответствие утвержденному типу, и внесенные в реестр государственной системы обеспечения единства измерений, а также выпускаемые из производства и после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41" w:id="30"/>
    <w:p>
      <w:pPr>
        <w:spacing w:after="0"/>
        <w:ind w:left="0"/>
        <w:jc w:val="both"/>
      </w:pPr>
      <w:r>
        <w:rPr>
          <w:rFonts w:ascii="Times New Roman"/>
          <w:b w:val="false"/>
          <w:i w:val="false"/>
          <w:color w:val="000000"/>
          <w:sz w:val="28"/>
        </w:rPr>
        <w:t>
      ";</w:t>
      </w:r>
    </w:p>
    <w:bookmarkEnd w:id="30"/>
    <w:bookmarkStart w:name="z42" w:id="31"/>
    <w:p>
      <w:pPr>
        <w:spacing w:after="0"/>
        <w:ind w:left="0"/>
        <w:jc w:val="both"/>
      </w:pPr>
      <w:r>
        <w:rPr>
          <w:rFonts w:ascii="Times New Roman"/>
          <w:b w:val="false"/>
          <w:i w:val="false"/>
          <w:color w:val="000000"/>
          <w:sz w:val="28"/>
        </w:rPr>
        <w:t>
      строки, порядковые номера 62 и 63 исключить;</w:t>
      </w:r>
    </w:p>
    <w:bookmarkEnd w:id="31"/>
    <w:bookmarkStart w:name="z43" w:id="32"/>
    <w:p>
      <w:pPr>
        <w:spacing w:after="0"/>
        <w:ind w:left="0"/>
        <w:jc w:val="both"/>
      </w:pPr>
      <w:r>
        <w:rPr>
          <w:rFonts w:ascii="Times New Roman"/>
          <w:b w:val="false"/>
          <w:i w:val="false"/>
          <w:color w:val="000000"/>
          <w:sz w:val="28"/>
        </w:rPr>
        <w:t>
      строку, порядковый номер 82, изложить в следующей редакции:</w:t>
      </w:r>
    </w:p>
    <w:bookmarkEnd w:id="32"/>
    <w:bookmarkStart w:name="z44" w:id="33"/>
    <w:p>
      <w:pPr>
        <w:spacing w:after="0"/>
        <w:ind w:left="0"/>
        <w:jc w:val="both"/>
      </w:pPr>
      <w:r>
        <w:rPr>
          <w:rFonts w:ascii="Times New Roman"/>
          <w:b w:val="false"/>
          <w:i w:val="false"/>
          <w:color w:val="000000"/>
          <w:sz w:val="28"/>
        </w:rPr>
        <w:t>
      "</w:t>
      </w:r>
    </w:p>
    <w:bookmarkEnd w:id="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реестре государственной системы обеспечения единства измерений поверителя, прошедшего аттестацию (переаттестацию) с указанием номера регистрации на сертификате об аттестации (переаттестации)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46" w:id="34"/>
    <w:p>
      <w:pPr>
        <w:spacing w:after="0"/>
        <w:ind w:left="0"/>
        <w:jc w:val="both"/>
      </w:pPr>
      <w:r>
        <w:rPr>
          <w:rFonts w:ascii="Times New Roman"/>
          <w:b w:val="false"/>
          <w:i w:val="false"/>
          <w:color w:val="000000"/>
          <w:sz w:val="28"/>
        </w:rPr>
        <w:t>
      строку, порядковый номер 87, исключить;</w:t>
      </w:r>
    </w:p>
    <w:bookmarkEnd w:id="34"/>
    <w:bookmarkStart w:name="z47" w:id="35"/>
    <w:p>
      <w:pPr>
        <w:spacing w:after="0"/>
        <w:ind w:left="0"/>
        <w:jc w:val="both"/>
      </w:pPr>
      <w:r>
        <w:rPr>
          <w:rFonts w:ascii="Times New Roman"/>
          <w:b w:val="false"/>
          <w:i w:val="false"/>
          <w:color w:val="000000"/>
          <w:sz w:val="28"/>
        </w:rPr>
        <w:t>
      строку, порядковый номер 96, исключить;</w:t>
      </w:r>
    </w:p>
    <w:bookmarkEnd w:id="35"/>
    <w:bookmarkStart w:name="z48" w:id="36"/>
    <w:p>
      <w:pPr>
        <w:spacing w:after="0"/>
        <w:ind w:left="0"/>
        <w:jc w:val="both"/>
      </w:pPr>
      <w:r>
        <w:rPr>
          <w:rFonts w:ascii="Times New Roman"/>
          <w:b w:val="false"/>
          <w:i w:val="false"/>
          <w:color w:val="000000"/>
          <w:sz w:val="28"/>
        </w:rPr>
        <w:t>
      строку, порядковый номер 100, исключить;</w:t>
      </w:r>
    </w:p>
    <w:bookmarkEnd w:id="36"/>
    <w:bookmarkStart w:name="z49" w:id="37"/>
    <w:p>
      <w:pPr>
        <w:spacing w:after="0"/>
        <w:ind w:left="0"/>
        <w:jc w:val="both"/>
      </w:pPr>
      <w:r>
        <w:rPr>
          <w:rFonts w:ascii="Times New Roman"/>
          <w:b w:val="false"/>
          <w:i w:val="false"/>
          <w:color w:val="000000"/>
          <w:sz w:val="28"/>
        </w:rPr>
        <w:t>
      строку, порядковый номер 110, исключить;</w:t>
      </w:r>
    </w:p>
    <w:bookmarkEnd w:id="37"/>
    <w:bookmarkStart w:name="z50" w:id="38"/>
    <w:p>
      <w:pPr>
        <w:spacing w:after="0"/>
        <w:ind w:left="0"/>
        <w:jc w:val="both"/>
      </w:pPr>
      <w:r>
        <w:rPr>
          <w:rFonts w:ascii="Times New Roman"/>
          <w:b w:val="false"/>
          <w:i w:val="false"/>
          <w:color w:val="000000"/>
          <w:sz w:val="28"/>
        </w:rPr>
        <w:t>
      строку, порядковый номер 111, изложить в следующей редакции:</w:t>
      </w:r>
    </w:p>
    <w:bookmarkEnd w:id="38"/>
    <w:bookmarkStart w:name="z51" w:id="39"/>
    <w:p>
      <w:pPr>
        <w:spacing w:after="0"/>
        <w:ind w:left="0"/>
        <w:jc w:val="both"/>
      </w:pPr>
      <w:r>
        <w:rPr>
          <w:rFonts w:ascii="Times New Roman"/>
          <w:b w:val="false"/>
          <w:i w:val="false"/>
          <w:color w:val="000000"/>
          <w:sz w:val="28"/>
        </w:rPr>
        <w:t>
      "</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фасованной и расфасованной продукции количеству продукции указанной на упаковке и (или) в товарно-сопроводительных документах, документах, подтверждающий факт приобретения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2" w:id="40"/>
    <w:p>
      <w:pPr>
        <w:spacing w:after="0"/>
        <w:ind w:left="0"/>
        <w:jc w:val="both"/>
      </w:pPr>
      <w:r>
        <w:rPr>
          <w:rFonts w:ascii="Times New Roman"/>
          <w:b w:val="false"/>
          <w:i w:val="false"/>
          <w:color w:val="000000"/>
          <w:sz w:val="28"/>
        </w:rPr>
        <w:t>
      ";</w:t>
      </w:r>
    </w:p>
    <w:bookmarkEnd w:id="40"/>
    <w:bookmarkStart w:name="z53" w:id="41"/>
    <w:p>
      <w:pPr>
        <w:spacing w:after="0"/>
        <w:ind w:left="0"/>
        <w:jc w:val="both"/>
      </w:pPr>
      <w:r>
        <w:rPr>
          <w:rFonts w:ascii="Times New Roman"/>
          <w:b w:val="false"/>
          <w:i w:val="false"/>
          <w:color w:val="000000"/>
          <w:sz w:val="28"/>
        </w:rPr>
        <w:t>
      строки, порядковые номера 113 и 114, изложить в следующей редакции:</w:t>
      </w:r>
    </w:p>
    <w:bookmarkEnd w:id="41"/>
    <w:bookmarkStart w:name="z54" w:id="42"/>
    <w:p>
      <w:pPr>
        <w:spacing w:after="0"/>
        <w:ind w:left="0"/>
        <w:jc w:val="both"/>
      </w:pPr>
      <w:r>
        <w:rPr>
          <w:rFonts w:ascii="Times New Roman"/>
          <w:b w:val="false"/>
          <w:i w:val="false"/>
          <w:color w:val="000000"/>
          <w:sz w:val="28"/>
        </w:rPr>
        <w:t>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массы, объема, расхода или других величин, характеризующих количество отчуждаемой продукции количеству продукции указанной на упаковке и (или) в товарно-сопроводительных документах, в том числе документах, подтверждающий факт приобретения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исправных средств измерений, погрешность которых не превышает допустимой погрешности данных средств измерений, при совершении торговых операций расфасованной продукции при ее реализации и продукции отчуждаемой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5" w:id="43"/>
    <w:p>
      <w:pPr>
        <w:spacing w:after="0"/>
        <w:ind w:left="0"/>
        <w:jc w:val="both"/>
      </w:pPr>
      <w:r>
        <w:rPr>
          <w:rFonts w:ascii="Times New Roman"/>
          <w:b w:val="false"/>
          <w:i w:val="false"/>
          <w:color w:val="000000"/>
          <w:sz w:val="28"/>
        </w:rPr>
        <w:t>
      ";</w:t>
      </w:r>
    </w:p>
    <w:bookmarkEnd w:id="43"/>
    <w:bookmarkStart w:name="z56" w:id="44"/>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6</w:t>
      </w:r>
      <w:r>
        <w:rPr>
          <w:rFonts w:ascii="Times New Roman"/>
          <w:b w:val="false"/>
          <w:i w:val="false"/>
          <w:color w:val="000000"/>
          <w:sz w:val="28"/>
        </w:rPr>
        <w:t xml:space="preserve"> к критериям оценки степени риска для отбора субъектов (объектов) контроля в области обеспечения единства измерений:</w:t>
      </w:r>
    </w:p>
    <w:bookmarkEnd w:id="44"/>
    <w:bookmarkStart w:name="z57" w:id="45"/>
    <w:p>
      <w:pPr>
        <w:spacing w:after="0"/>
        <w:ind w:left="0"/>
        <w:jc w:val="both"/>
      </w:pPr>
      <w:r>
        <w:rPr>
          <w:rFonts w:ascii="Times New Roman"/>
          <w:b w:val="false"/>
          <w:i w:val="false"/>
          <w:color w:val="000000"/>
          <w:sz w:val="28"/>
        </w:rPr>
        <w:t>
      строку, порядковый номер 1, изложить в следующей редакции:</w:t>
      </w:r>
    </w:p>
    <w:bookmarkEnd w:id="45"/>
    <w:bookmarkStart w:name="z58" w:id="46"/>
    <w:p>
      <w:pPr>
        <w:spacing w:after="0"/>
        <w:ind w:left="0"/>
        <w:jc w:val="both"/>
      </w:pPr>
      <w:r>
        <w:rPr>
          <w:rFonts w:ascii="Times New Roman"/>
          <w:b w:val="false"/>
          <w:i w:val="false"/>
          <w:color w:val="000000"/>
          <w:sz w:val="28"/>
        </w:rPr>
        <w:t>
      "</w:t>
      </w:r>
    </w:p>
    <w:bookmarkEnd w:id="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о нарушениях в области метрологии за соблюдением законодательства Республики Казахстан об обеспечении единства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59" w:id="47"/>
    <w:p>
      <w:pPr>
        <w:spacing w:after="0"/>
        <w:ind w:left="0"/>
        <w:jc w:val="both"/>
      </w:pPr>
      <w:r>
        <w:rPr>
          <w:rFonts w:ascii="Times New Roman"/>
          <w:b w:val="false"/>
          <w:i w:val="false"/>
          <w:color w:val="000000"/>
          <w:sz w:val="28"/>
        </w:rPr>
        <w:t>
      ";</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2</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10</w:t>
      </w:r>
      <w:r>
        <w:rPr>
          <w:rFonts w:ascii="Times New Roman"/>
          <w:b w:val="false"/>
          <w:i w:val="false"/>
          <w:color w:val="000000"/>
          <w:sz w:val="28"/>
        </w:rPr>
        <w:t xml:space="preserve"> к настоящему совместному приказу.</w:t>
      </w:r>
    </w:p>
    <w:bookmarkStart w:name="z61" w:id="48"/>
    <w:p>
      <w:pPr>
        <w:spacing w:after="0"/>
        <w:ind w:left="0"/>
        <w:jc w:val="both"/>
      </w:pPr>
      <w:r>
        <w:rPr>
          <w:rFonts w:ascii="Times New Roman"/>
          <w:b w:val="false"/>
          <w:i w:val="false"/>
          <w:color w:val="000000"/>
          <w:sz w:val="28"/>
        </w:rPr>
        <w:t xml:space="preserve">
      3. В </w:t>
      </w:r>
      <w:r>
        <w:rPr>
          <w:rFonts w:ascii="Times New Roman"/>
          <w:b w:val="false"/>
          <w:i w:val="false"/>
          <w:color w:val="000000"/>
          <w:sz w:val="28"/>
        </w:rPr>
        <w:t>совместном приказе</w:t>
      </w:r>
      <w:r>
        <w:rPr>
          <w:rFonts w:ascii="Times New Roman"/>
          <w:b w:val="false"/>
          <w:i w:val="false"/>
          <w:color w:val="000000"/>
          <w:sz w:val="28"/>
        </w:rPr>
        <w:t xml:space="preserve"> Заместителя Премьер-Министра - Министра торговли и интеграции Республики Казахстан от 14 марта 2022 года № 140-НҚ и Министра национальной экономики Республики Казахстан от 15 марта 2022 года № 23 "Об утверждении критериев оценки степени риска и проверочных листов за соблюдением законодательства Республики Казахстан об аккредитации в области оценки соответствия" (зарегистрирован в Реестре государственной регистрации нормативных правовых актов за № 27176):</w:t>
      </w:r>
    </w:p>
    <w:bookmarkEnd w:id="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совместного приказа изложить в следующей редакции:</w:t>
      </w:r>
    </w:p>
    <w:bookmarkStart w:name="z63" w:id="49"/>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w:t>
      </w:r>
      <w:r>
        <w:rPr>
          <w:rFonts w:ascii="Times New Roman"/>
          <w:b/>
          <w:i w:val="false"/>
          <w:color w:val="000000"/>
          <w:sz w:val="28"/>
        </w:rPr>
        <w:t>ПРИКАЗЫВАЕМ</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приложение 1</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приложению 11</w:t>
      </w:r>
      <w:r>
        <w:rPr>
          <w:rFonts w:ascii="Times New Roman"/>
          <w:b w:val="false"/>
          <w:i w:val="false"/>
          <w:color w:val="000000"/>
          <w:sz w:val="28"/>
        </w:rPr>
        <w:t xml:space="preserve"> к настоящему совместному приказу;</w:t>
      </w:r>
    </w:p>
    <w:bookmarkStart w:name="z65" w:id="50"/>
    <w:p>
      <w:pPr>
        <w:spacing w:after="0"/>
        <w:ind w:left="0"/>
        <w:jc w:val="both"/>
      </w:pPr>
      <w:r>
        <w:rPr>
          <w:rFonts w:ascii="Times New Roman"/>
          <w:b w:val="false"/>
          <w:i w:val="false"/>
          <w:color w:val="000000"/>
          <w:sz w:val="28"/>
        </w:rPr>
        <w:t xml:space="preserve">
      в </w:t>
      </w:r>
      <w:r>
        <w:rPr>
          <w:rFonts w:ascii="Times New Roman"/>
          <w:b w:val="false"/>
          <w:i w:val="false"/>
          <w:color w:val="000000"/>
          <w:sz w:val="28"/>
        </w:rPr>
        <w:t>Приложении 2</w:t>
      </w:r>
      <w:r>
        <w:rPr>
          <w:rFonts w:ascii="Times New Roman"/>
          <w:b w:val="false"/>
          <w:i w:val="false"/>
          <w:color w:val="000000"/>
          <w:sz w:val="28"/>
        </w:rPr>
        <w:t xml:space="preserve"> к критериям оценки степени риска за соблюдением законодательства Республики Казахстан об аккредитации в области оценки соответствия:</w:t>
      </w:r>
    </w:p>
    <w:bookmarkEnd w:id="50"/>
    <w:bookmarkStart w:name="z66" w:id="51"/>
    <w:p>
      <w:pPr>
        <w:spacing w:after="0"/>
        <w:ind w:left="0"/>
        <w:jc w:val="both"/>
      </w:pPr>
      <w:r>
        <w:rPr>
          <w:rFonts w:ascii="Times New Roman"/>
          <w:b w:val="false"/>
          <w:i w:val="false"/>
          <w:color w:val="000000"/>
          <w:sz w:val="28"/>
        </w:rPr>
        <w:t>
      в разделе За соблюдением законодательства Республики Казахстан об аккредитации в области оценки соответствия в отношении органа по аккредитации (степень тяжести устанавливается при несоблюдении нижеперечисленных требований):</w:t>
      </w:r>
    </w:p>
    <w:bookmarkEnd w:id="51"/>
    <w:bookmarkStart w:name="z67" w:id="52"/>
    <w:p>
      <w:pPr>
        <w:spacing w:after="0"/>
        <w:ind w:left="0"/>
        <w:jc w:val="both"/>
      </w:pPr>
      <w:r>
        <w:rPr>
          <w:rFonts w:ascii="Times New Roman"/>
          <w:b w:val="false"/>
          <w:i w:val="false"/>
          <w:color w:val="000000"/>
          <w:sz w:val="28"/>
        </w:rPr>
        <w:t>
      строку, порядковый номер 18, исключить;</w:t>
      </w:r>
    </w:p>
    <w:bookmarkEnd w:id="52"/>
    <w:bookmarkStart w:name="z68" w:id="53"/>
    <w:p>
      <w:pPr>
        <w:spacing w:after="0"/>
        <w:ind w:left="0"/>
        <w:jc w:val="both"/>
      </w:pPr>
      <w:r>
        <w:rPr>
          <w:rFonts w:ascii="Times New Roman"/>
          <w:b w:val="false"/>
          <w:i w:val="false"/>
          <w:color w:val="000000"/>
          <w:sz w:val="28"/>
        </w:rPr>
        <w:t>
      в разделе В отношении поверочной лаборатории (центра) (степень тяжести устанавливается при несоблюдении нижеперечисленных требований):</w:t>
      </w:r>
    </w:p>
    <w:bookmarkEnd w:id="53"/>
    <w:bookmarkStart w:name="z69" w:id="54"/>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54"/>
    <w:bookmarkStart w:name="z70" w:id="55"/>
    <w:p>
      <w:pPr>
        <w:spacing w:after="0"/>
        <w:ind w:left="0"/>
        <w:jc w:val="both"/>
      </w:pPr>
      <w:r>
        <w:rPr>
          <w:rFonts w:ascii="Times New Roman"/>
          <w:b w:val="false"/>
          <w:i w:val="false"/>
          <w:color w:val="000000"/>
          <w:sz w:val="28"/>
        </w:rPr>
        <w:t>
      "</w:t>
      </w:r>
    </w:p>
    <w:bookmarkEnd w:id="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прослеживаемости измерений путем получения размеров единиц величин от государственных эталонов единиц величин, в случае их отсутствия - от национальных эталонов единиц величин других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1" w:id="56"/>
    <w:p>
      <w:pPr>
        <w:spacing w:after="0"/>
        <w:ind w:left="0"/>
        <w:jc w:val="both"/>
      </w:pPr>
      <w:r>
        <w:rPr>
          <w:rFonts w:ascii="Times New Roman"/>
          <w:b w:val="false"/>
          <w:i w:val="false"/>
          <w:color w:val="000000"/>
          <w:sz w:val="28"/>
        </w:rPr>
        <w:t>
      ";</w:t>
      </w:r>
    </w:p>
    <w:bookmarkEnd w:id="56"/>
    <w:bookmarkStart w:name="z72" w:id="57"/>
    <w:p>
      <w:pPr>
        <w:spacing w:after="0"/>
        <w:ind w:left="0"/>
        <w:jc w:val="both"/>
      </w:pPr>
      <w:r>
        <w:rPr>
          <w:rFonts w:ascii="Times New Roman"/>
          <w:b w:val="false"/>
          <w:i w:val="false"/>
          <w:color w:val="000000"/>
          <w:sz w:val="28"/>
        </w:rPr>
        <w:t>
      в разделе В отношении органа по подтверждению соответствия и испытательной лаборатории (центра) (степень тяжести устанавливается при несоблюдении нижеперечисленных требований):</w:t>
      </w:r>
    </w:p>
    <w:bookmarkEnd w:id="57"/>
    <w:bookmarkStart w:name="z73" w:id="58"/>
    <w:p>
      <w:pPr>
        <w:spacing w:after="0"/>
        <w:ind w:left="0"/>
        <w:jc w:val="both"/>
      </w:pPr>
      <w:r>
        <w:rPr>
          <w:rFonts w:ascii="Times New Roman"/>
          <w:b w:val="false"/>
          <w:i w:val="false"/>
          <w:color w:val="000000"/>
          <w:sz w:val="28"/>
        </w:rPr>
        <w:t>
      строку, порядковый номер 9, изложить в следующей редакции:</w:t>
      </w:r>
    </w:p>
    <w:bookmarkEnd w:id="58"/>
    <w:bookmarkStart w:name="z74" w:id="59"/>
    <w:p>
      <w:pPr>
        <w:spacing w:after="0"/>
        <w:ind w:left="0"/>
        <w:jc w:val="both"/>
      </w:pPr>
      <w:r>
        <w:rPr>
          <w:rFonts w:ascii="Times New Roman"/>
          <w:b w:val="false"/>
          <w:i w:val="false"/>
          <w:color w:val="000000"/>
          <w:sz w:val="28"/>
        </w:rPr>
        <w:t>
      "</w:t>
      </w:r>
    </w:p>
    <w:bookmarkEnd w:id="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прослеживаемости измерений путем получения размеров единиц величин от государственных эталонов единиц величин, в случае их отсутствия - от национальных эталонов единиц величин других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bookmarkStart w:name="z75" w:id="60"/>
    <w:p>
      <w:pPr>
        <w:spacing w:after="0"/>
        <w:ind w:left="0"/>
        <w:jc w:val="both"/>
      </w:pPr>
      <w:r>
        <w:rPr>
          <w:rFonts w:ascii="Times New Roman"/>
          <w:b w:val="false"/>
          <w:i w:val="false"/>
          <w:color w:val="000000"/>
          <w:sz w:val="28"/>
        </w:rPr>
        <w:t>
      ";</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приложения 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и </w:t>
      </w:r>
      <w:r>
        <w:rPr>
          <w:rFonts w:ascii="Times New Roman"/>
          <w:b w:val="false"/>
          <w:i w:val="false"/>
          <w:color w:val="000000"/>
          <w:sz w:val="28"/>
        </w:rPr>
        <w:t>5</w:t>
      </w:r>
      <w:r>
        <w:rPr>
          <w:rFonts w:ascii="Times New Roman"/>
          <w:b w:val="false"/>
          <w:i w:val="false"/>
          <w:color w:val="000000"/>
          <w:sz w:val="28"/>
        </w:rPr>
        <w:t xml:space="preserve"> к указанному совместному приказу изложить в новой редакции согласно </w:t>
      </w:r>
      <w:r>
        <w:rPr>
          <w:rFonts w:ascii="Times New Roman"/>
          <w:b w:val="false"/>
          <w:i w:val="false"/>
          <w:color w:val="000000"/>
          <w:sz w:val="28"/>
        </w:rPr>
        <w:t>приложениям 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и </w:t>
      </w:r>
      <w:r>
        <w:rPr>
          <w:rFonts w:ascii="Times New Roman"/>
          <w:b w:val="false"/>
          <w:i w:val="false"/>
          <w:color w:val="000000"/>
          <w:sz w:val="28"/>
        </w:rPr>
        <w:t>15</w:t>
      </w:r>
      <w:r>
        <w:rPr>
          <w:rFonts w:ascii="Times New Roman"/>
          <w:b w:val="false"/>
          <w:i w:val="false"/>
          <w:color w:val="000000"/>
          <w:sz w:val="28"/>
        </w:rPr>
        <w:t xml:space="preserve"> к настоящему совместному приказу.</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w:t>
            </w:r>
            <w:r>
              <w:br/>
            </w:r>
            <w:r>
              <w:rPr>
                <w:rFonts w:ascii="Times New Roman"/>
                <w:b w:val="false"/>
                <w:i w:val="false"/>
                <w:color w:val="000000"/>
                <w:sz w:val="20"/>
              </w:rPr>
              <w:t>№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79" w:id="61"/>
    <w:p>
      <w:pPr>
        <w:spacing w:after="0"/>
        <w:ind w:left="0"/>
        <w:jc w:val="left"/>
      </w:pPr>
      <w:r>
        <w:rPr>
          <w:rFonts w:ascii="Times New Roman"/>
          <w:b/>
          <w:i w:val="false"/>
          <w:color w:val="000000"/>
        </w:rPr>
        <w:t xml:space="preserve"> Критерии оценки степени риска для отбора субъектов (объектов) контроля и надзора в области технического регулирования</w:t>
      </w:r>
    </w:p>
    <w:bookmarkEnd w:id="61"/>
    <w:bookmarkStart w:name="z80" w:id="62"/>
    <w:p>
      <w:pPr>
        <w:spacing w:after="0"/>
        <w:ind w:left="0"/>
        <w:jc w:val="left"/>
      </w:pPr>
      <w:r>
        <w:rPr>
          <w:rFonts w:ascii="Times New Roman"/>
          <w:b/>
          <w:i w:val="false"/>
          <w:color w:val="000000"/>
        </w:rPr>
        <w:t xml:space="preserve"> Глава 1. Общие положения</w:t>
      </w:r>
    </w:p>
    <w:bookmarkEnd w:id="62"/>
    <w:bookmarkStart w:name="z81" w:id="63"/>
    <w:p>
      <w:pPr>
        <w:spacing w:after="0"/>
        <w:ind w:left="0"/>
        <w:jc w:val="both"/>
      </w:pPr>
      <w:r>
        <w:rPr>
          <w:rFonts w:ascii="Times New Roman"/>
          <w:b w:val="false"/>
          <w:i w:val="false"/>
          <w:color w:val="000000"/>
          <w:sz w:val="28"/>
        </w:rPr>
        <w:t xml:space="preserve">
      1. Настоящие Критерии оценки степени риска для отбора субъектов (объектов) контроля и надзора в области технического регулирования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w:t>
      </w:r>
    </w:p>
    <w:bookmarkEnd w:id="63"/>
    <w:bookmarkStart w:name="z82" w:id="64"/>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64"/>
    <w:bookmarkStart w:name="z83" w:id="65"/>
    <w:p>
      <w:pPr>
        <w:spacing w:after="0"/>
        <w:ind w:left="0"/>
        <w:jc w:val="both"/>
      </w:pPr>
      <w:r>
        <w:rPr>
          <w:rFonts w:ascii="Times New Roman"/>
          <w:b w:val="false"/>
          <w:i w:val="false"/>
          <w:color w:val="000000"/>
          <w:sz w:val="28"/>
        </w:rPr>
        <w:t>
      1) значительные нарушения – нарушения требований законодательства Республики Казахстан в области технического регулирования, создающие предпосылки на причинение вреда жизни, здоровью человека, окружающей среде, в том числе растительному и животному миру и затрагивающие законные интересы физических и юридических лиц, государства;</w:t>
      </w:r>
    </w:p>
    <w:bookmarkEnd w:id="65"/>
    <w:bookmarkStart w:name="z84" w:id="66"/>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в области технического регулирования, не относящиеся к значительным и грубым нарушениям;</w:t>
      </w:r>
    </w:p>
    <w:bookmarkEnd w:id="66"/>
    <w:bookmarkStart w:name="z85" w:id="67"/>
    <w:p>
      <w:pPr>
        <w:spacing w:after="0"/>
        <w:ind w:left="0"/>
        <w:jc w:val="both"/>
      </w:pPr>
      <w:r>
        <w:rPr>
          <w:rFonts w:ascii="Times New Roman"/>
          <w:b w:val="false"/>
          <w:i w:val="false"/>
          <w:color w:val="000000"/>
          <w:sz w:val="28"/>
        </w:rPr>
        <w:t>
      3) грубые нарушения – нарушения требований законодательства Республики Казахстан в области технического регулирования, влекущие непосредственное причинение вреда жизни, здоровью человека, окружающей среде, в том числе растительному и животному миру и затрагивающие законные интересы физических и юридических лиц, государства;</w:t>
      </w:r>
    </w:p>
    <w:bookmarkEnd w:id="67"/>
    <w:bookmarkStart w:name="z86" w:id="68"/>
    <w:p>
      <w:pPr>
        <w:spacing w:after="0"/>
        <w:ind w:left="0"/>
        <w:jc w:val="both"/>
      </w:pPr>
      <w:r>
        <w:rPr>
          <w:rFonts w:ascii="Times New Roman"/>
          <w:b w:val="false"/>
          <w:i w:val="false"/>
          <w:color w:val="000000"/>
          <w:sz w:val="28"/>
        </w:rPr>
        <w:t>
      4)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и надзора по степеням риска для последующего осуществления профилактического контроля с посещением субъекта (объекта) контроля и надзора и (или) проверок на соответствие квалификационным требованиям (далее – проверки на соответствие требованиям)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надзора и (или) освобождения такого субъекта (объекта) контроля и надзора от профилактического контроля с посещением субъекта (объекта) контроля и надзора и (или) проверок на соответствие требованиям;</w:t>
      </w:r>
    </w:p>
    <w:bookmarkEnd w:id="68"/>
    <w:bookmarkStart w:name="z87" w:id="69"/>
    <w:p>
      <w:pPr>
        <w:spacing w:after="0"/>
        <w:ind w:left="0"/>
        <w:jc w:val="both"/>
      </w:pPr>
      <w:r>
        <w:rPr>
          <w:rFonts w:ascii="Times New Roman"/>
          <w:b w:val="false"/>
          <w:i w:val="false"/>
          <w:color w:val="000000"/>
          <w:sz w:val="28"/>
        </w:rPr>
        <w:t>
      5)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и надзора,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69"/>
    <w:bookmarkStart w:name="z88" w:id="70"/>
    <w:p>
      <w:pPr>
        <w:spacing w:after="0"/>
        <w:ind w:left="0"/>
        <w:jc w:val="both"/>
      </w:pPr>
      <w:r>
        <w:rPr>
          <w:rFonts w:ascii="Times New Roman"/>
          <w:b w:val="false"/>
          <w:i w:val="false"/>
          <w:color w:val="000000"/>
          <w:sz w:val="28"/>
        </w:rPr>
        <w:t>
      6)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и надзора в зависимости от степени риска в определенной сфере деятельности и не зависящие непосредственно от отдельного субъекта (объекта) контроля и надзора;</w:t>
      </w:r>
    </w:p>
    <w:bookmarkEnd w:id="70"/>
    <w:bookmarkStart w:name="z89" w:id="71"/>
    <w:p>
      <w:pPr>
        <w:spacing w:after="0"/>
        <w:ind w:left="0"/>
        <w:jc w:val="both"/>
      </w:pPr>
      <w:r>
        <w:rPr>
          <w:rFonts w:ascii="Times New Roman"/>
          <w:b w:val="false"/>
          <w:i w:val="false"/>
          <w:color w:val="000000"/>
          <w:sz w:val="28"/>
        </w:rPr>
        <w:t>
      7)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и надзора в зависимости от результатов деятельности конкретного субъекта (объекта) контроля и надзора;</w:t>
      </w:r>
    </w:p>
    <w:bookmarkEnd w:id="71"/>
    <w:bookmarkStart w:name="z90" w:id="72"/>
    <w:p>
      <w:pPr>
        <w:spacing w:after="0"/>
        <w:ind w:left="0"/>
        <w:jc w:val="both"/>
      </w:pPr>
      <w:r>
        <w:rPr>
          <w:rFonts w:ascii="Times New Roman"/>
          <w:b w:val="false"/>
          <w:i w:val="false"/>
          <w:color w:val="000000"/>
          <w:sz w:val="28"/>
        </w:rPr>
        <w:t>
      8) субъекты (объекты) контроля и надзора в области технического регулирования - орган (организации), уполномоченный (уполномоченные)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 изготовители Государственного Флага и Государственного Герба Республики Казахстан, органы по подтверждению соответствия, лаборатории и заявители на которые распространяется действие технического регламента, учебные центры, субъекты частного предпринимательства, осуществляющие реализацию, выпуск в обращение продукции соответствующей требованиям, установленным техническими регламентами;</w:t>
      </w:r>
    </w:p>
    <w:bookmarkEnd w:id="72"/>
    <w:bookmarkStart w:name="z91" w:id="73"/>
    <w:p>
      <w:pPr>
        <w:spacing w:after="0"/>
        <w:ind w:left="0"/>
        <w:jc w:val="both"/>
      </w:pPr>
      <w:r>
        <w:rPr>
          <w:rFonts w:ascii="Times New Roman"/>
          <w:b w:val="false"/>
          <w:i w:val="false"/>
          <w:color w:val="000000"/>
          <w:sz w:val="28"/>
        </w:rPr>
        <w:t>
      9) риск в области технического регулирования - вероятность причинения вреда в результате деятельности субъекта контроля и надзора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73"/>
    <w:bookmarkStart w:name="z92" w:id="74"/>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и надзора, несоблюдение которых влечет за собой угрозу жизни и здоровью человека, окружающей среде, законным интересам физических и юридических лиц, государства.</w:t>
      </w:r>
    </w:p>
    <w:bookmarkEnd w:id="74"/>
    <w:bookmarkStart w:name="z93" w:id="75"/>
    <w:p>
      <w:pPr>
        <w:spacing w:after="0"/>
        <w:ind w:left="0"/>
        <w:jc w:val="both"/>
      </w:pPr>
      <w:r>
        <w:rPr>
          <w:rFonts w:ascii="Times New Roman"/>
          <w:b w:val="false"/>
          <w:i w:val="false"/>
          <w:color w:val="000000"/>
          <w:sz w:val="28"/>
        </w:rPr>
        <w:t>
      3. Критерии оценки степени риска в области технического регулирования для профилактического контроля с посещением субъекта (объекта) контроля и надзора формируются посредством объективных и субъективных критериев.</w:t>
      </w:r>
    </w:p>
    <w:bookmarkEnd w:id="75"/>
    <w:bookmarkStart w:name="z94" w:id="76"/>
    <w:p>
      <w:pPr>
        <w:spacing w:after="0"/>
        <w:ind w:left="0"/>
        <w:jc w:val="left"/>
      </w:pPr>
      <w:r>
        <w:rPr>
          <w:rFonts w:ascii="Times New Roman"/>
          <w:b/>
          <w:i w:val="false"/>
          <w:color w:val="000000"/>
        </w:rPr>
        <w:t xml:space="preserve"> Глава 2. Объективные критерии</w:t>
      </w:r>
    </w:p>
    <w:bookmarkEnd w:id="76"/>
    <w:bookmarkStart w:name="z95" w:id="77"/>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w:t>
      </w:r>
    </w:p>
    <w:bookmarkEnd w:id="77"/>
    <w:bookmarkStart w:name="z96" w:id="78"/>
    <w:p>
      <w:pPr>
        <w:spacing w:after="0"/>
        <w:ind w:left="0"/>
        <w:jc w:val="both"/>
      </w:pPr>
      <w:r>
        <w:rPr>
          <w:rFonts w:ascii="Times New Roman"/>
          <w:b w:val="false"/>
          <w:i w:val="false"/>
          <w:color w:val="000000"/>
          <w:sz w:val="28"/>
        </w:rPr>
        <w:t>
      5. Определение риска осуществляется в зависимости от специфики сферы, в которой осуществляется государственный контроль и надзор с учетом одного из следующих критериев:</w:t>
      </w:r>
    </w:p>
    <w:bookmarkEnd w:id="78"/>
    <w:bookmarkStart w:name="z97" w:id="79"/>
    <w:p>
      <w:pPr>
        <w:spacing w:after="0"/>
        <w:ind w:left="0"/>
        <w:jc w:val="both"/>
      </w:pPr>
      <w:r>
        <w:rPr>
          <w:rFonts w:ascii="Times New Roman"/>
          <w:b w:val="false"/>
          <w:i w:val="false"/>
          <w:color w:val="000000"/>
          <w:sz w:val="28"/>
        </w:rPr>
        <w:t>
      1) уровня опасности (сложности) объекта;</w:t>
      </w:r>
    </w:p>
    <w:bookmarkEnd w:id="79"/>
    <w:bookmarkStart w:name="z98" w:id="80"/>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80"/>
    <w:bookmarkStart w:name="z99" w:id="81"/>
    <w:p>
      <w:pPr>
        <w:spacing w:after="0"/>
        <w:ind w:left="0"/>
        <w:jc w:val="both"/>
      </w:pPr>
      <w:r>
        <w:rPr>
          <w:rFonts w:ascii="Times New Roman"/>
          <w:b w:val="false"/>
          <w:i w:val="false"/>
          <w:color w:val="000000"/>
          <w:sz w:val="28"/>
        </w:rPr>
        <w:t>
      3) возможности наступления неблагоприятного происшествия для законных интересов физических и юридических лиц, государства.</w:t>
      </w:r>
    </w:p>
    <w:bookmarkEnd w:id="81"/>
    <w:bookmarkStart w:name="z100" w:id="82"/>
    <w:p>
      <w:pPr>
        <w:spacing w:after="0"/>
        <w:ind w:left="0"/>
        <w:jc w:val="both"/>
      </w:pPr>
      <w:r>
        <w:rPr>
          <w:rFonts w:ascii="Times New Roman"/>
          <w:b w:val="false"/>
          <w:i w:val="false"/>
          <w:color w:val="000000"/>
          <w:sz w:val="28"/>
        </w:rPr>
        <w:t>
      6. После проведения анализа всех возможных рисков субъекты (объекты) контроля и надзора распределяются по трем степеням риска (высокая, средняя и низкая).</w:t>
      </w:r>
    </w:p>
    <w:bookmarkEnd w:id="82"/>
    <w:bookmarkStart w:name="z101" w:id="83"/>
    <w:p>
      <w:pPr>
        <w:spacing w:after="0"/>
        <w:ind w:left="0"/>
        <w:jc w:val="both"/>
      </w:pPr>
      <w:r>
        <w:rPr>
          <w:rFonts w:ascii="Times New Roman"/>
          <w:b w:val="false"/>
          <w:i w:val="false"/>
          <w:color w:val="000000"/>
          <w:sz w:val="28"/>
        </w:rPr>
        <w:t>
      В сфере технического регулирования к высокой степени риска по объективным критериям относятся следующие субъекты:</w:t>
      </w:r>
    </w:p>
    <w:bookmarkEnd w:id="83"/>
    <w:bookmarkStart w:name="z102" w:id="84"/>
    <w:p>
      <w:pPr>
        <w:spacing w:after="0"/>
        <w:ind w:left="0"/>
        <w:jc w:val="both"/>
      </w:pPr>
      <w:r>
        <w:rPr>
          <w:rFonts w:ascii="Times New Roman"/>
          <w:b w:val="false"/>
          <w:i w:val="false"/>
          <w:color w:val="000000"/>
          <w:sz w:val="28"/>
        </w:rPr>
        <w:t>
      1) по изготовлению государственных символов Республики Казахстан;</w:t>
      </w:r>
    </w:p>
    <w:bookmarkEnd w:id="84"/>
    <w:bookmarkStart w:name="z103" w:id="85"/>
    <w:p>
      <w:pPr>
        <w:spacing w:after="0"/>
        <w:ind w:left="0"/>
        <w:jc w:val="both"/>
      </w:pPr>
      <w:r>
        <w:rPr>
          <w:rFonts w:ascii="Times New Roman"/>
          <w:b w:val="false"/>
          <w:i w:val="false"/>
          <w:color w:val="000000"/>
          <w:sz w:val="28"/>
        </w:rPr>
        <w:t xml:space="preserve">
      2) орган (организации), уполномоченный (уполномоченные) на выдачу сертификата о происхождении товара и сертификата о происхождении товара для внутреннего обращения, об определении статуса Евразийского экономического союза или иностранного товара; </w:t>
      </w:r>
    </w:p>
    <w:bookmarkEnd w:id="85"/>
    <w:bookmarkStart w:name="z104" w:id="86"/>
    <w:p>
      <w:pPr>
        <w:spacing w:after="0"/>
        <w:ind w:left="0"/>
        <w:jc w:val="both"/>
      </w:pPr>
      <w:r>
        <w:rPr>
          <w:rFonts w:ascii="Times New Roman"/>
          <w:b w:val="false"/>
          <w:i w:val="false"/>
          <w:color w:val="000000"/>
          <w:sz w:val="28"/>
        </w:rPr>
        <w:t>
      3) субъекты частного предпринимательства, осуществляющие реализацию, выпуск в обращение продукции, в отношении которой введены в действие технические регламенты.</w:t>
      </w:r>
    </w:p>
    <w:bookmarkEnd w:id="86"/>
    <w:bookmarkStart w:name="z105" w:id="87"/>
    <w:p>
      <w:pPr>
        <w:spacing w:after="0"/>
        <w:ind w:left="0"/>
        <w:jc w:val="both"/>
      </w:pPr>
      <w:r>
        <w:rPr>
          <w:rFonts w:ascii="Times New Roman"/>
          <w:b w:val="false"/>
          <w:i w:val="false"/>
          <w:color w:val="000000"/>
          <w:sz w:val="28"/>
        </w:rPr>
        <w:t>
      К средней степени риска:</w:t>
      </w:r>
    </w:p>
    <w:bookmarkEnd w:id="87"/>
    <w:bookmarkStart w:name="z106" w:id="88"/>
    <w:p>
      <w:pPr>
        <w:spacing w:after="0"/>
        <w:ind w:left="0"/>
        <w:jc w:val="both"/>
      </w:pPr>
      <w:r>
        <w:rPr>
          <w:rFonts w:ascii="Times New Roman"/>
          <w:b w:val="false"/>
          <w:i w:val="false"/>
          <w:color w:val="000000"/>
          <w:sz w:val="28"/>
        </w:rPr>
        <w:t>
      1) экспертная организация и эксперты-аудиторы по определению страны происхождения товара, статуса товара Евразийского экономического союза или иностранного товара;</w:t>
      </w:r>
    </w:p>
    <w:bookmarkEnd w:id="88"/>
    <w:bookmarkStart w:name="z107" w:id="89"/>
    <w:p>
      <w:pPr>
        <w:spacing w:after="0"/>
        <w:ind w:left="0"/>
        <w:jc w:val="both"/>
      </w:pPr>
      <w:r>
        <w:rPr>
          <w:rFonts w:ascii="Times New Roman"/>
          <w:b w:val="false"/>
          <w:i w:val="false"/>
          <w:color w:val="000000"/>
          <w:sz w:val="28"/>
        </w:rPr>
        <w:t>
      2) эксперты-аудиторы по подтверждению соответствия, аккредитации.</w:t>
      </w:r>
    </w:p>
    <w:bookmarkEnd w:id="89"/>
    <w:bookmarkStart w:name="z108" w:id="90"/>
    <w:p>
      <w:pPr>
        <w:spacing w:after="0"/>
        <w:ind w:left="0"/>
        <w:jc w:val="both"/>
      </w:pPr>
      <w:r>
        <w:rPr>
          <w:rFonts w:ascii="Times New Roman"/>
          <w:b w:val="false"/>
          <w:i w:val="false"/>
          <w:color w:val="000000"/>
          <w:sz w:val="28"/>
        </w:rPr>
        <w:t>
      К низкой степени риска – учебные центры.</w:t>
      </w:r>
    </w:p>
    <w:bookmarkEnd w:id="90"/>
    <w:bookmarkStart w:name="z109" w:id="91"/>
    <w:p>
      <w:pPr>
        <w:spacing w:after="0"/>
        <w:ind w:left="0"/>
        <w:jc w:val="both"/>
      </w:pPr>
      <w:r>
        <w:rPr>
          <w:rFonts w:ascii="Times New Roman"/>
          <w:b w:val="false"/>
          <w:i w:val="false"/>
          <w:color w:val="000000"/>
          <w:sz w:val="28"/>
        </w:rPr>
        <w:t>
      7. Для субъектов (объектов) контроля и надзора, отнесенных к высокой степени риска, кратность проведения проверки на соответствие требованиям определяется критериями оценки степени риска, но не чаще одного раза в год.</w:t>
      </w:r>
    </w:p>
    <w:bookmarkEnd w:id="91"/>
    <w:bookmarkStart w:name="z110" w:id="92"/>
    <w:p>
      <w:pPr>
        <w:spacing w:after="0"/>
        <w:ind w:left="0"/>
        <w:jc w:val="both"/>
      </w:pPr>
      <w:r>
        <w:rPr>
          <w:rFonts w:ascii="Times New Roman"/>
          <w:b w:val="false"/>
          <w:i w:val="false"/>
          <w:color w:val="000000"/>
          <w:sz w:val="28"/>
        </w:rPr>
        <w:t>
      Для субъектов (объектов) контроля и надзора, отнесенных к средней степени риска, кратность проведения проверок на соответствие требованиям определяется критериями оценки степени риска, но не чаще одного раза в два года.</w:t>
      </w:r>
    </w:p>
    <w:bookmarkEnd w:id="92"/>
    <w:bookmarkStart w:name="z111" w:id="93"/>
    <w:p>
      <w:pPr>
        <w:spacing w:after="0"/>
        <w:ind w:left="0"/>
        <w:jc w:val="both"/>
      </w:pPr>
      <w:r>
        <w:rPr>
          <w:rFonts w:ascii="Times New Roman"/>
          <w:b w:val="false"/>
          <w:i w:val="false"/>
          <w:color w:val="000000"/>
          <w:sz w:val="28"/>
        </w:rPr>
        <w:t>
      Для субъектов (объектов) контроля и надзора, отнесенных к низкой степени риска, кратность проведения проверок на соответствие требованиям определяется критериями оценки степени риска, но не чаще одного раза в три года.</w:t>
      </w:r>
    </w:p>
    <w:bookmarkEnd w:id="93"/>
    <w:bookmarkStart w:name="z112" w:id="94"/>
    <w:p>
      <w:pPr>
        <w:spacing w:after="0"/>
        <w:ind w:left="0"/>
        <w:jc w:val="both"/>
      </w:pPr>
      <w:r>
        <w:rPr>
          <w:rFonts w:ascii="Times New Roman"/>
          <w:b w:val="false"/>
          <w:i w:val="false"/>
          <w:color w:val="000000"/>
          <w:sz w:val="28"/>
        </w:rPr>
        <w:t>
      8. В отношении субъектов (объектов) контроля и надзора, отнесенных к высокой или средней степени риска, проводятся профилактический контроль с посещением субъекта (объекта) контроля и надзора, профилактический контроль без посещения субъекта (объекта) контроля и надзора, проверки на соответствие требованиям и внеплановая проверка.</w:t>
      </w:r>
    </w:p>
    <w:bookmarkEnd w:id="94"/>
    <w:bookmarkStart w:name="z113" w:id="95"/>
    <w:p>
      <w:pPr>
        <w:spacing w:after="0"/>
        <w:ind w:left="0"/>
        <w:jc w:val="both"/>
      </w:pPr>
      <w:r>
        <w:rPr>
          <w:rFonts w:ascii="Times New Roman"/>
          <w:b w:val="false"/>
          <w:i w:val="false"/>
          <w:color w:val="000000"/>
          <w:sz w:val="28"/>
        </w:rPr>
        <w:t>
      В отношении субъектов (объектов) контроля и надзора, отнесенных к низкой степени риска, проводятся профилактический контроль без посещения субъекта (объекта) контроля и надзора, проверки на соответствие требованиям и внеплановая проверка.</w:t>
      </w:r>
    </w:p>
    <w:bookmarkEnd w:id="95"/>
    <w:bookmarkStart w:name="z114" w:id="96"/>
    <w:p>
      <w:pPr>
        <w:spacing w:after="0"/>
        <w:ind w:left="0"/>
        <w:jc w:val="left"/>
      </w:pPr>
      <w:r>
        <w:rPr>
          <w:rFonts w:ascii="Times New Roman"/>
          <w:b/>
          <w:i w:val="false"/>
          <w:color w:val="000000"/>
        </w:rPr>
        <w:t xml:space="preserve"> Глава 3. Субъективные критерии</w:t>
      </w:r>
    </w:p>
    <w:bookmarkEnd w:id="96"/>
    <w:bookmarkStart w:name="z115" w:id="97"/>
    <w:p>
      <w:pPr>
        <w:spacing w:after="0"/>
        <w:ind w:left="0"/>
        <w:jc w:val="both"/>
      </w:pPr>
      <w:r>
        <w:rPr>
          <w:rFonts w:ascii="Times New Roman"/>
          <w:b w:val="false"/>
          <w:i w:val="false"/>
          <w:color w:val="000000"/>
          <w:sz w:val="28"/>
        </w:rPr>
        <w:t>
      9. Определение субъективных критериев осуществляется с применением следующих этапов:</w:t>
      </w:r>
    </w:p>
    <w:bookmarkEnd w:id="97"/>
    <w:bookmarkStart w:name="z116" w:id="98"/>
    <w:p>
      <w:pPr>
        <w:spacing w:after="0"/>
        <w:ind w:left="0"/>
        <w:jc w:val="both"/>
      </w:pPr>
      <w:r>
        <w:rPr>
          <w:rFonts w:ascii="Times New Roman"/>
          <w:b w:val="false"/>
          <w:i w:val="false"/>
          <w:color w:val="000000"/>
          <w:sz w:val="28"/>
        </w:rPr>
        <w:t>
      1) формирование базы данных и сбор информации;</w:t>
      </w:r>
    </w:p>
    <w:bookmarkEnd w:id="98"/>
    <w:bookmarkStart w:name="z117" w:id="99"/>
    <w:p>
      <w:pPr>
        <w:spacing w:after="0"/>
        <w:ind w:left="0"/>
        <w:jc w:val="both"/>
      </w:pPr>
      <w:r>
        <w:rPr>
          <w:rFonts w:ascii="Times New Roman"/>
          <w:b w:val="false"/>
          <w:i w:val="false"/>
          <w:color w:val="000000"/>
          <w:sz w:val="28"/>
        </w:rPr>
        <w:t>
      2) анализ информации и оценка рисков.</w:t>
      </w:r>
    </w:p>
    <w:bookmarkEnd w:id="99"/>
    <w:bookmarkStart w:name="z118" w:id="100"/>
    <w:p>
      <w:pPr>
        <w:spacing w:after="0"/>
        <w:ind w:left="0"/>
        <w:jc w:val="both"/>
      </w:pPr>
      <w:r>
        <w:rPr>
          <w:rFonts w:ascii="Times New Roman"/>
          <w:b w:val="false"/>
          <w:i w:val="false"/>
          <w:color w:val="000000"/>
          <w:sz w:val="28"/>
        </w:rPr>
        <w:t>
      10. Для оценки степени риска и профилактического контроля с посещением используются следующие источники информации:</w:t>
      </w:r>
    </w:p>
    <w:bookmarkEnd w:id="100"/>
    <w:bookmarkStart w:name="z119" w:id="101"/>
    <w:p>
      <w:pPr>
        <w:spacing w:after="0"/>
        <w:ind w:left="0"/>
        <w:jc w:val="both"/>
      </w:pPr>
      <w:r>
        <w:rPr>
          <w:rFonts w:ascii="Times New Roman"/>
          <w:b w:val="false"/>
          <w:i w:val="false"/>
          <w:color w:val="000000"/>
          <w:sz w:val="28"/>
        </w:rPr>
        <w:t>
      1)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bookmarkEnd w:id="101"/>
    <w:bookmarkStart w:name="z120" w:id="102"/>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 и надзора;</w:t>
      </w:r>
    </w:p>
    <w:bookmarkEnd w:id="102"/>
    <w:bookmarkStart w:name="z121" w:id="103"/>
    <w:p>
      <w:pPr>
        <w:spacing w:after="0"/>
        <w:ind w:left="0"/>
        <w:jc w:val="both"/>
      </w:pPr>
      <w:r>
        <w:rPr>
          <w:rFonts w:ascii="Times New Roman"/>
          <w:b w:val="false"/>
          <w:i w:val="false"/>
          <w:color w:val="000000"/>
          <w:sz w:val="28"/>
        </w:rPr>
        <w:t>
      3) анализ официальных интернет-ресурсов государственных органов, средств массовой информации;</w:t>
      </w:r>
    </w:p>
    <w:bookmarkEnd w:id="103"/>
    <w:bookmarkStart w:name="z122" w:id="104"/>
    <w:p>
      <w:pPr>
        <w:spacing w:after="0"/>
        <w:ind w:left="0"/>
        <w:jc w:val="both"/>
      </w:pPr>
      <w:r>
        <w:rPr>
          <w:rFonts w:ascii="Times New Roman"/>
          <w:b w:val="false"/>
          <w:i w:val="false"/>
          <w:color w:val="000000"/>
          <w:sz w:val="28"/>
        </w:rPr>
        <w:t>
      4) результаты анализа сведений, представляемых государственными органами и организациями;</w:t>
      </w:r>
    </w:p>
    <w:bookmarkEnd w:id="104"/>
    <w:bookmarkStart w:name="z123" w:id="105"/>
    <w:p>
      <w:pPr>
        <w:spacing w:after="0"/>
        <w:ind w:left="0"/>
        <w:jc w:val="both"/>
      </w:pPr>
      <w:r>
        <w:rPr>
          <w:rFonts w:ascii="Times New Roman"/>
          <w:b w:val="false"/>
          <w:i w:val="false"/>
          <w:color w:val="000000"/>
          <w:sz w:val="28"/>
        </w:rPr>
        <w:t>
      5) результаты мониторинга отчетности и сведений, представляемых субъектом контроля и надзора;</w:t>
      </w:r>
    </w:p>
    <w:bookmarkEnd w:id="105"/>
    <w:bookmarkStart w:name="z124" w:id="106"/>
    <w:p>
      <w:pPr>
        <w:spacing w:after="0"/>
        <w:ind w:left="0"/>
        <w:jc w:val="both"/>
      </w:pPr>
      <w:r>
        <w:rPr>
          <w:rFonts w:ascii="Times New Roman"/>
          <w:b w:val="false"/>
          <w:i w:val="false"/>
          <w:color w:val="000000"/>
          <w:sz w:val="28"/>
        </w:rPr>
        <w:t>
      6) наличие и количество подтвержденных жалоб и обращений.</w:t>
      </w:r>
    </w:p>
    <w:bookmarkEnd w:id="106"/>
    <w:bookmarkStart w:name="z125" w:id="107"/>
    <w:p>
      <w:pPr>
        <w:spacing w:after="0"/>
        <w:ind w:left="0"/>
        <w:jc w:val="both"/>
      </w:pPr>
      <w:r>
        <w:rPr>
          <w:rFonts w:ascii="Times New Roman"/>
          <w:b w:val="false"/>
          <w:i w:val="false"/>
          <w:color w:val="000000"/>
          <w:sz w:val="28"/>
        </w:rPr>
        <w:t>
      Для проведения проверки на соответствие требованиям используются следующие источники информации:</w:t>
      </w:r>
    </w:p>
    <w:bookmarkEnd w:id="107"/>
    <w:bookmarkStart w:name="z126" w:id="108"/>
    <w:p>
      <w:pPr>
        <w:spacing w:after="0"/>
        <w:ind w:left="0"/>
        <w:jc w:val="both"/>
      </w:pPr>
      <w:r>
        <w:rPr>
          <w:rFonts w:ascii="Times New Roman"/>
          <w:b w:val="false"/>
          <w:i w:val="false"/>
          <w:color w:val="000000"/>
          <w:sz w:val="28"/>
        </w:rPr>
        <w:t>
      1)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bookmarkEnd w:id="108"/>
    <w:bookmarkStart w:name="z127" w:id="109"/>
    <w:p>
      <w:pPr>
        <w:spacing w:after="0"/>
        <w:ind w:left="0"/>
        <w:jc w:val="both"/>
      </w:pPr>
      <w:r>
        <w:rPr>
          <w:rFonts w:ascii="Times New Roman"/>
          <w:b w:val="false"/>
          <w:i w:val="false"/>
          <w:color w:val="000000"/>
          <w:sz w:val="28"/>
        </w:rPr>
        <w:t>
      2) результаты предыдущих проверок;</w:t>
      </w:r>
    </w:p>
    <w:bookmarkEnd w:id="109"/>
    <w:bookmarkStart w:name="z128" w:id="110"/>
    <w:p>
      <w:pPr>
        <w:spacing w:after="0"/>
        <w:ind w:left="0"/>
        <w:jc w:val="both"/>
      </w:pPr>
      <w:r>
        <w:rPr>
          <w:rFonts w:ascii="Times New Roman"/>
          <w:b w:val="false"/>
          <w:i w:val="false"/>
          <w:color w:val="000000"/>
          <w:sz w:val="28"/>
        </w:rPr>
        <w:t>
      3) анализ официальных интернет-ресурсов государственных органов, средств массовой информации;</w:t>
      </w:r>
    </w:p>
    <w:bookmarkEnd w:id="110"/>
    <w:bookmarkStart w:name="z129" w:id="111"/>
    <w:p>
      <w:pPr>
        <w:spacing w:after="0"/>
        <w:ind w:left="0"/>
        <w:jc w:val="both"/>
      </w:pPr>
      <w:r>
        <w:rPr>
          <w:rFonts w:ascii="Times New Roman"/>
          <w:b w:val="false"/>
          <w:i w:val="false"/>
          <w:color w:val="000000"/>
          <w:sz w:val="28"/>
        </w:rPr>
        <w:t>
      4) результаты анализа сведений, представляемых государственными органами и организациями;</w:t>
      </w:r>
    </w:p>
    <w:bookmarkEnd w:id="111"/>
    <w:bookmarkStart w:name="z130" w:id="112"/>
    <w:p>
      <w:pPr>
        <w:spacing w:after="0"/>
        <w:ind w:left="0"/>
        <w:jc w:val="both"/>
      </w:pPr>
      <w:r>
        <w:rPr>
          <w:rFonts w:ascii="Times New Roman"/>
          <w:b w:val="false"/>
          <w:i w:val="false"/>
          <w:color w:val="000000"/>
          <w:sz w:val="28"/>
        </w:rPr>
        <w:t>
      5) наличие и количество подтвержденных жалоб и обращений.</w:t>
      </w:r>
    </w:p>
    <w:bookmarkEnd w:id="112"/>
    <w:bookmarkStart w:name="z131" w:id="113"/>
    <w:p>
      <w:pPr>
        <w:spacing w:after="0"/>
        <w:ind w:left="0"/>
        <w:jc w:val="both"/>
      </w:pPr>
      <w:r>
        <w:rPr>
          <w:rFonts w:ascii="Times New Roman"/>
          <w:b w:val="false"/>
          <w:i w:val="false"/>
          <w:color w:val="000000"/>
          <w:sz w:val="28"/>
        </w:rPr>
        <w:t>
      На основании имеющихся источников информации, орган государственного контроля и надзора в сфере технического регулирования формирует субъективные критерии, подлежащие оценке.</w:t>
      </w:r>
    </w:p>
    <w:bookmarkEnd w:id="113"/>
    <w:bookmarkStart w:name="z132" w:id="114"/>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проверки на соответствие требованиям и профилактический контроль субъекта (объекта) контроля и надзора в отношении субъекта (объекта) контроля и надзора с наибольшим потенциальным риском.</w:t>
      </w:r>
    </w:p>
    <w:bookmarkEnd w:id="114"/>
    <w:bookmarkStart w:name="z133" w:id="115"/>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и надзора либо данные, по которым истек срок исковой давности в соответствии с законодательством Республики Казахстан.</w:t>
      </w:r>
    </w:p>
    <w:bookmarkEnd w:id="115"/>
    <w:bookmarkStart w:name="z134" w:id="116"/>
    <w:p>
      <w:pPr>
        <w:spacing w:after="0"/>
        <w:ind w:left="0"/>
        <w:jc w:val="both"/>
      </w:pPr>
      <w:r>
        <w:rPr>
          <w:rFonts w:ascii="Times New Roman"/>
          <w:b w:val="false"/>
          <w:i w:val="false"/>
          <w:color w:val="000000"/>
          <w:sz w:val="28"/>
        </w:rPr>
        <w:t>
      В отношении субъектов контроля и надзора, устранивших в полном объеме выданные нарушения по итогам проведенного предыдущего профилактического контроля с посещением и (или) проверки на соответствие требованиям, не допускается включение их при формировании графиков и списков на очередной период государственного контроля.</w:t>
      </w:r>
    </w:p>
    <w:bookmarkEnd w:id="116"/>
    <w:bookmarkStart w:name="z135" w:id="117"/>
    <w:p>
      <w:pPr>
        <w:spacing w:after="0"/>
        <w:ind w:left="0"/>
        <w:jc w:val="both"/>
      </w:pPr>
      <w:r>
        <w:rPr>
          <w:rFonts w:ascii="Times New Roman"/>
          <w:b w:val="false"/>
          <w:i w:val="false"/>
          <w:color w:val="000000"/>
          <w:sz w:val="28"/>
        </w:rPr>
        <w:t>
      11.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области технического регулирования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117"/>
    <w:bookmarkStart w:name="z136" w:id="118"/>
    <w:p>
      <w:pPr>
        <w:spacing w:after="0"/>
        <w:ind w:left="0"/>
        <w:jc w:val="both"/>
      </w:pPr>
      <w:r>
        <w:rPr>
          <w:rFonts w:ascii="Times New Roman"/>
          <w:b w:val="false"/>
          <w:i w:val="false"/>
          <w:color w:val="000000"/>
          <w:sz w:val="28"/>
        </w:rPr>
        <w:t>
      Субъективные критерии определены для субъектов в области технического регулирования согласно приложению к настоящим Критериям.</w:t>
      </w:r>
    </w:p>
    <w:bookmarkEnd w:id="118"/>
    <w:bookmarkStart w:name="z137" w:id="119"/>
    <w:p>
      <w:pPr>
        <w:spacing w:after="0"/>
        <w:ind w:left="0"/>
        <w:jc w:val="both"/>
      </w:pPr>
      <w:r>
        <w:rPr>
          <w:rFonts w:ascii="Times New Roman"/>
          <w:b w:val="false"/>
          <w:i w:val="false"/>
          <w:color w:val="000000"/>
          <w:sz w:val="28"/>
        </w:rPr>
        <w:t>
      12.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119"/>
    <w:bookmarkStart w:name="z138" w:id="120"/>
    <w:p>
      <w:pPr>
        <w:spacing w:after="0"/>
        <w:ind w:left="0"/>
        <w:jc w:val="both"/>
      </w:pPr>
      <w:r>
        <w:rPr>
          <w:rFonts w:ascii="Times New Roman"/>
          <w:b w:val="false"/>
          <w:i w:val="false"/>
          <w:color w:val="000000"/>
          <w:sz w:val="28"/>
        </w:rPr>
        <w:t>
      По показателям степени риска субъект (объект) контроля и надзора относится:</w:t>
      </w:r>
    </w:p>
    <w:bookmarkEnd w:id="120"/>
    <w:bookmarkStart w:name="z139" w:id="121"/>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121"/>
    <w:bookmarkStart w:name="z140" w:id="122"/>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122"/>
    <w:bookmarkStart w:name="z141" w:id="123"/>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123"/>
    <w:bookmarkStart w:name="z142" w:id="124"/>
    <w:p>
      <w:pPr>
        <w:spacing w:after="0"/>
        <w:ind w:left="0"/>
        <w:jc w:val="both"/>
      </w:pPr>
      <w:r>
        <w:rPr>
          <w:rFonts w:ascii="Times New Roman"/>
          <w:b w:val="false"/>
          <w:i w:val="false"/>
          <w:color w:val="000000"/>
          <w:sz w:val="28"/>
        </w:rPr>
        <w:t>
      13. При выявлении одного грубого нарушения субъекту контроля и надзора приравнивается показатель степени риска 100 и в отношении него проводится проверка на соответствие требованиям или профилактический контроль с посещением субъекта (объекта) контроля и надзора.</w:t>
      </w:r>
    </w:p>
    <w:bookmarkEnd w:id="124"/>
    <w:bookmarkStart w:name="z143" w:id="125"/>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125"/>
    <w:bookmarkStart w:name="z144" w:id="126"/>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126"/>
    <w:bookmarkStart w:name="z145" w:id="127"/>
    <w:p>
      <w:pPr>
        <w:spacing w:after="0"/>
        <w:ind w:left="0"/>
        <w:jc w:val="both"/>
      </w:pPr>
      <w:r>
        <w:rPr>
          <w:rFonts w:ascii="Times New Roman"/>
          <w:b w:val="false"/>
          <w:i w:val="false"/>
          <w:color w:val="000000"/>
          <w:sz w:val="28"/>
        </w:rPr>
        <w:t>
      SРз = (SР2 х 100/SР1) х 0,7,</w:t>
      </w:r>
    </w:p>
    <w:bookmarkEnd w:id="127"/>
    <w:bookmarkStart w:name="z146" w:id="128"/>
    <w:p>
      <w:pPr>
        <w:spacing w:after="0"/>
        <w:ind w:left="0"/>
        <w:jc w:val="both"/>
      </w:pPr>
      <w:r>
        <w:rPr>
          <w:rFonts w:ascii="Times New Roman"/>
          <w:b w:val="false"/>
          <w:i w:val="false"/>
          <w:color w:val="000000"/>
          <w:sz w:val="28"/>
        </w:rPr>
        <w:t>
      где:</w:t>
      </w:r>
    </w:p>
    <w:bookmarkEnd w:id="128"/>
    <w:bookmarkStart w:name="z147" w:id="129"/>
    <w:p>
      <w:pPr>
        <w:spacing w:after="0"/>
        <w:ind w:left="0"/>
        <w:jc w:val="both"/>
      </w:pPr>
      <w:r>
        <w:rPr>
          <w:rFonts w:ascii="Times New Roman"/>
          <w:b w:val="false"/>
          <w:i w:val="false"/>
          <w:color w:val="000000"/>
          <w:sz w:val="28"/>
        </w:rPr>
        <w:t>
      SРз – показатель значительных нарушений;</w:t>
      </w:r>
    </w:p>
    <w:bookmarkEnd w:id="129"/>
    <w:bookmarkStart w:name="z148" w:id="130"/>
    <w:p>
      <w:pPr>
        <w:spacing w:after="0"/>
        <w:ind w:left="0"/>
        <w:jc w:val="both"/>
      </w:pPr>
      <w:r>
        <w:rPr>
          <w:rFonts w:ascii="Times New Roman"/>
          <w:b w:val="false"/>
          <w:i w:val="false"/>
          <w:color w:val="000000"/>
          <w:sz w:val="28"/>
        </w:rPr>
        <w:t>
      SР1 – требуемое количество значительных нарушений;</w:t>
      </w:r>
    </w:p>
    <w:bookmarkEnd w:id="130"/>
    <w:bookmarkStart w:name="z149" w:id="131"/>
    <w:p>
      <w:pPr>
        <w:spacing w:after="0"/>
        <w:ind w:left="0"/>
        <w:jc w:val="both"/>
      </w:pPr>
      <w:r>
        <w:rPr>
          <w:rFonts w:ascii="Times New Roman"/>
          <w:b w:val="false"/>
          <w:i w:val="false"/>
          <w:color w:val="000000"/>
          <w:sz w:val="28"/>
        </w:rPr>
        <w:t>
      SР2 – количество выявленных значительных нарушений;</w:t>
      </w:r>
    </w:p>
    <w:bookmarkEnd w:id="131"/>
    <w:bookmarkStart w:name="z150" w:id="132"/>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132"/>
    <w:bookmarkStart w:name="z151" w:id="133"/>
    <w:p>
      <w:pPr>
        <w:spacing w:after="0"/>
        <w:ind w:left="0"/>
        <w:jc w:val="both"/>
      </w:pPr>
      <w:r>
        <w:rPr>
          <w:rFonts w:ascii="Times New Roman"/>
          <w:b w:val="false"/>
          <w:i w:val="false"/>
          <w:color w:val="000000"/>
          <w:sz w:val="28"/>
        </w:rPr>
        <w:t>
      SРн = (SР2 х 100/SР1) х 0,3,</w:t>
      </w:r>
    </w:p>
    <w:bookmarkEnd w:id="133"/>
    <w:bookmarkStart w:name="z152" w:id="134"/>
    <w:p>
      <w:pPr>
        <w:spacing w:after="0"/>
        <w:ind w:left="0"/>
        <w:jc w:val="both"/>
      </w:pPr>
      <w:r>
        <w:rPr>
          <w:rFonts w:ascii="Times New Roman"/>
          <w:b w:val="false"/>
          <w:i w:val="false"/>
          <w:color w:val="000000"/>
          <w:sz w:val="28"/>
        </w:rPr>
        <w:t>
      где:</w:t>
      </w:r>
    </w:p>
    <w:bookmarkEnd w:id="134"/>
    <w:bookmarkStart w:name="z153" w:id="135"/>
    <w:p>
      <w:pPr>
        <w:spacing w:after="0"/>
        <w:ind w:left="0"/>
        <w:jc w:val="both"/>
      </w:pPr>
      <w:r>
        <w:rPr>
          <w:rFonts w:ascii="Times New Roman"/>
          <w:b w:val="false"/>
          <w:i w:val="false"/>
          <w:color w:val="000000"/>
          <w:sz w:val="28"/>
        </w:rPr>
        <w:t>
      SРн – показатель незначительных нарушений;</w:t>
      </w:r>
    </w:p>
    <w:bookmarkEnd w:id="135"/>
    <w:bookmarkStart w:name="z154" w:id="136"/>
    <w:p>
      <w:pPr>
        <w:spacing w:after="0"/>
        <w:ind w:left="0"/>
        <w:jc w:val="both"/>
      </w:pPr>
      <w:r>
        <w:rPr>
          <w:rFonts w:ascii="Times New Roman"/>
          <w:b w:val="false"/>
          <w:i w:val="false"/>
          <w:color w:val="000000"/>
          <w:sz w:val="28"/>
        </w:rPr>
        <w:t>
      SР1 – требуемое количество незначительных нарушений;</w:t>
      </w:r>
    </w:p>
    <w:bookmarkEnd w:id="136"/>
    <w:bookmarkStart w:name="z155" w:id="137"/>
    <w:p>
      <w:pPr>
        <w:spacing w:after="0"/>
        <w:ind w:left="0"/>
        <w:jc w:val="both"/>
      </w:pPr>
      <w:r>
        <w:rPr>
          <w:rFonts w:ascii="Times New Roman"/>
          <w:b w:val="false"/>
          <w:i w:val="false"/>
          <w:color w:val="000000"/>
          <w:sz w:val="28"/>
        </w:rPr>
        <w:t>
      SР2 – количество выявленных незначительных нарушений;</w:t>
      </w:r>
    </w:p>
    <w:bookmarkEnd w:id="137"/>
    <w:bookmarkStart w:name="z156" w:id="138"/>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138"/>
    <w:bookmarkStart w:name="z157" w:id="139"/>
    <w:p>
      <w:pPr>
        <w:spacing w:after="0"/>
        <w:ind w:left="0"/>
        <w:jc w:val="both"/>
      </w:pPr>
      <w:r>
        <w:rPr>
          <w:rFonts w:ascii="Times New Roman"/>
          <w:b w:val="false"/>
          <w:i w:val="false"/>
          <w:color w:val="000000"/>
          <w:sz w:val="28"/>
        </w:rPr>
        <w:t>
      SР = SРз + SРн,</w:t>
      </w:r>
    </w:p>
    <w:bookmarkEnd w:id="139"/>
    <w:bookmarkStart w:name="z158" w:id="140"/>
    <w:p>
      <w:pPr>
        <w:spacing w:after="0"/>
        <w:ind w:left="0"/>
        <w:jc w:val="both"/>
      </w:pPr>
      <w:r>
        <w:rPr>
          <w:rFonts w:ascii="Times New Roman"/>
          <w:b w:val="false"/>
          <w:i w:val="false"/>
          <w:color w:val="000000"/>
          <w:sz w:val="28"/>
        </w:rPr>
        <w:t>
      где:</w:t>
      </w:r>
    </w:p>
    <w:bookmarkEnd w:id="140"/>
    <w:bookmarkStart w:name="z159" w:id="141"/>
    <w:p>
      <w:pPr>
        <w:spacing w:after="0"/>
        <w:ind w:left="0"/>
        <w:jc w:val="both"/>
      </w:pPr>
      <w:r>
        <w:rPr>
          <w:rFonts w:ascii="Times New Roman"/>
          <w:b w:val="false"/>
          <w:i w:val="false"/>
          <w:color w:val="000000"/>
          <w:sz w:val="28"/>
        </w:rPr>
        <w:t>
      SР – общий показатель степени риска;</w:t>
      </w:r>
    </w:p>
    <w:bookmarkEnd w:id="141"/>
    <w:bookmarkStart w:name="z160" w:id="142"/>
    <w:p>
      <w:pPr>
        <w:spacing w:after="0"/>
        <w:ind w:left="0"/>
        <w:jc w:val="both"/>
      </w:pPr>
      <w:r>
        <w:rPr>
          <w:rFonts w:ascii="Times New Roman"/>
          <w:b w:val="false"/>
          <w:i w:val="false"/>
          <w:color w:val="000000"/>
          <w:sz w:val="28"/>
        </w:rPr>
        <w:t>
      SРз – показатель значительных нарушений;</w:t>
      </w:r>
    </w:p>
    <w:bookmarkEnd w:id="142"/>
    <w:bookmarkStart w:name="z161" w:id="143"/>
    <w:p>
      <w:pPr>
        <w:spacing w:after="0"/>
        <w:ind w:left="0"/>
        <w:jc w:val="both"/>
      </w:pPr>
      <w:r>
        <w:rPr>
          <w:rFonts w:ascii="Times New Roman"/>
          <w:b w:val="false"/>
          <w:i w:val="false"/>
          <w:color w:val="000000"/>
          <w:sz w:val="28"/>
        </w:rPr>
        <w:t>
      SРн – показатель незначительных нарушений.</w:t>
      </w:r>
    </w:p>
    <w:bookmarkEnd w:id="143"/>
    <w:bookmarkStart w:name="z162" w:id="144"/>
    <w:p>
      <w:pPr>
        <w:spacing w:after="0"/>
        <w:ind w:left="0"/>
        <w:jc w:val="left"/>
      </w:pPr>
      <w:r>
        <w:rPr>
          <w:rFonts w:ascii="Times New Roman"/>
          <w:b/>
          <w:i w:val="false"/>
          <w:color w:val="000000"/>
        </w:rPr>
        <w:t xml:space="preserve"> Глава 4. Управление рисками</w:t>
      </w:r>
    </w:p>
    <w:bookmarkEnd w:id="144"/>
    <w:bookmarkStart w:name="z163" w:id="145"/>
    <w:p>
      <w:pPr>
        <w:spacing w:after="0"/>
        <w:ind w:left="0"/>
        <w:jc w:val="both"/>
      </w:pPr>
      <w:r>
        <w:rPr>
          <w:rFonts w:ascii="Times New Roman"/>
          <w:b w:val="false"/>
          <w:i w:val="false"/>
          <w:color w:val="000000"/>
          <w:sz w:val="28"/>
        </w:rPr>
        <w:t>
      14. В целях реализации принципа поощрения добросовестных субъектов контроля и надзора и концентрации контроля на нарушителях субъекты (объекты) контроля и надзора освобождаются от проведения профилактического контроля с посещением субъекта (объекта) контроля и надзора (или) проверки на соответствие требованиям на период, определяемый критериями оценки степени риска органа государственного контроля и надзора в сфере технического регулирования, посредством применения субъективных критериев.</w:t>
      </w:r>
    </w:p>
    <w:bookmarkEnd w:id="145"/>
    <w:bookmarkStart w:name="z164" w:id="146"/>
    <w:p>
      <w:pPr>
        <w:spacing w:after="0"/>
        <w:ind w:left="0"/>
        <w:jc w:val="both"/>
      </w:pPr>
      <w:r>
        <w:rPr>
          <w:rFonts w:ascii="Times New Roman"/>
          <w:b w:val="false"/>
          <w:i w:val="false"/>
          <w:color w:val="000000"/>
          <w:sz w:val="28"/>
        </w:rPr>
        <w:t>
      15. Субъекты (объекты) контроля и надзора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сфере технического регулирования в случаях:</w:t>
      </w:r>
    </w:p>
    <w:bookmarkEnd w:id="146"/>
    <w:bookmarkStart w:name="z165" w:id="147"/>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147"/>
    <w:bookmarkStart w:name="z166" w:id="148"/>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органа государственного контроля и надзора в сфере технического регулирования определены случаи освобождения от профилактического контроля с посещением субъекта (объекта) контроля и надзора или проведения проверок на соответствие требованиям;</w:t>
      </w:r>
    </w:p>
    <w:bookmarkEnd w:id="148"/>
    <w:bookmarkStart w:name="z167" w:id="149"/>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149"/>
    <w:bookmarkStart w:name="z168" w:id="150"/>
    <w:p>
      <w:pPr>
        <w:spacing w:after="0"/>
        <w:ind w:left="0"/>
        <w:jc w:val="both"/>
      </w:pPr>
      <w:r>
        <w:rPr>
          <w:rFonts w:ascii="Times New Roman"/>
          <w:b w:val="false"/>
          <w:i w:val="false"/>
          <w:color w:val="000000"/>
          <w:sz w:val="28"/>
        </w:rPr>
        <w:t>
      16. Система оценки и управления рисками государственными органами ведется с использованием информационных систем, относящих субъекты (объекты) контроля и надзора к конкретным степеням риска и формирующих графики или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150"/>
    <w:bookmarkStart w:name="z169" w:id="151"/>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и надзора, в отношении которых осуществляются профилактический контроль с посещением субъекта (объекта) контроля и надзора и (или) проверка на соответствие требованиям, не должен превышать пяти процентов от общего количества таких субъектов контроля и надзора в сфере технического регулирования.</w:t>
      </w:r>
    </w:p>
    <w:bookmarkEnd w:id="1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для отбора субъектов (объектов)</w:t>
            </w:r>
            <w:r>
              <w:br/>
            </w:r>
            <w:r>
              <w:rPr>
                <w:rFonts w:ascii="Times New Roman"/>
                <w:b w:val="false"/>
                <w:i w:val="false"/>
                <w:color w:val="000000"/>
                <w:sz w:val="20"/>
              </w:rPr>
              <w:t>контроля и надзора в области</w:t>
            </w:r>
            <w:r>
              <w:br/>
            </w:r>
            <w:r>
              <w:rPr>
                <w:rFonts w:ascii="Times New Roman"/>
                <w:b w:val="false"/>
                <w:i w:val="false"/>
                <w:color w:val="000000"/>
                <w:sz w:val="20"/>
              </w:rPr>
              <w:t>технического регулирования</w:t>
            </w:r>
          </w:p>
        </w:tc>
      </w:tr>
    </w:tbl>
    <w:bookmarkStart w:name="z171" w:id="152"/>
    <w:p>
      <w:pPr>
        <w:spacing w:after="0"/>
        <w:ind w:left="0"/>
        <w:jc w:val="left"/>
      </w:pPr>
      <w:r>
        <w:rPr>
          <w:rFonts w:ascii="Times New Roman"/>
          <w:b/>
          <w:i w:val="false"/>
          <w:color w:val="000000"/>
        </w:rPr>
        <w:t xml:space="preserve"> Субъективные критерии профилактического контроля в области технического регулирования в отношении изготовителя государственных символов Республики Казахстан</w:t>
      </w:r>
    </w:p>
    <w:bookmarkEnd w:id="15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рекомендаций выданных по результатам профилактического контроля без посещения субъекта (объекта)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профилактического контроля с посещением субъектов (объектов) контроля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Флага национальному стандарту СТ РК 988 "Государственный Флаг Республики Казахстан. Общие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Герба национальному стандарту СТ РК 989 "Государственный Герб Республики Казахстан. Технические условия"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технического регулирования в отношении изготовителя государственных символов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области технического регулирования в отношении изготовителя государственных символов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официальных сообщений на интернет-ресурсах государственных органов, в средствах массовой информации о нарушениях в области технического регулирования в отношении изготовителя государственных символов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реестр недобросовестных поставщиков по причине изготовления лицензиатом Государственного Флага и Государственного Герба Республики Казахстан с нарушениями (при не лишении лицензии судом) по результатам мониторинга портала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о нарушениях в области технического регулирования в отношении изготовителя государственных символов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для отбора субъектов (объектов)</w:t>
            </w:r>
            <w:r>
              <w:br/>
            </w:r>
            <w:r>
              <w:rPr>
                <w:rFonts w:ascii="Times New Roman"/>
                <w:b w:val="false"/>
                <w:i w:val="false"/>
                <w:color w:val="000000"/>
                <w:sz w:val="20"/>
              </w:rPr>
              <w:t>контроля и надзора в области</w:t>
            </w:r>
            <w:r>
              <w:br/>
            </w:r>
            <w:r>
              <w:rPr>
                <w:rFonts w:ascii="Times New Roman"/>
                <w:b w:val="false"/>
                <w:i w:val="false"/>
                <w:color w:val="000000"/>
                <w:sz w:val="20"/>
              </w:rPr>
              <w:t>технического регулирования</w:t>
            </w:r>
          </w:p>
        </w:tc>
      </w:tr>
    </w:tbl>
    <w:bookmarkStart w:name="z173" w:id="153"/>
    <w:p>
      <w:pPr>
        <w:spacing w:after="0"/>
        <w:ind w:left="0"/>
        <w:jc w:val="left"/>
      </w:pPr>
      <w:r>
        <w:rPr>
          <w:rFonts w:ascii="Times New Roman"/>
          <w:b/>
          <w:i w:val="false"/>
          <w:color w:val="000000"/>
        </w:rPr>
        <w:t xml:space="preserve"> Субъективные критерии проверки на соответствие квалификационным требованиям в области технического регулирования в отношении изготовителя государственных символов Республики Казахстан</w:t>
      </w:r>
    </w:p>
    <w:bookmarkEnd w:id="15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рекомендаций выданных по результатам профилактического контроля без посещения субъекта (объекта)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на соответствие требованиям</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изготовление Государственного Флага и Государственного Герба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технической базы (технологического оборудования, средств измерений и контроля, в том числе атласа цветов, обеспечивающих соблюдение технологического процесса и качества изготовленных государственных символов)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происхождении товара формы СТ-KZ на выпускаемую продукцию "Государственный Флаг Республики Казахстан" и "Государственный Герб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технического регулирования в отношении изготовителя государственных символов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области технического регулирования в отношении изготовителя государственных символов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официальных сообщений на интернет ресурсах государственных органов, в средствах массовой информации о нарушениях в области технического регулирования в отношении изготовителя государственных символов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реестр недобросовестных поставщиков по причине изготовления лицензиатом Государственного Флага и Государственного Герба Республики Казахстан с нарушениями (при не лишении лицензии судом) по результатам мониторинга портала государственных закупок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о нарушениях в области технического регулирования в отношении изготовителя государственных символов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для отбора субъектов (объектов)</w:t>
            </w:r>
            <w:r>
              <w:br/>
            </w:r>
            <w:r>
              <w:rPr>
                <w:rFonts w:ascii="Times New Roman"/>
                <w:b w:val="false"/>
                <w:i w:val="false"/>
                <w:color w:val="000000"/>
                <w:sz w:val="20"/>
              </w:rPr>
              <w:t>контроля и надзора в области</w:t>
            </w:r>
            <w:r>
              <w:br/>
            </w:r>
            <w:r>
              <w:rPr>
                <w:rFonts w:ascii="Times New Roman"/>
                <w:b w:val="false"/>
                <w:i w:val="false"/>
                <w:color w:val="000000"/>
                <w:sz w:val="20"/>
              </w:rPr>
              <w:t>технического регулирования</w:t>
            </w:r>
          </w:p>
        </w:tc>
      </w:tr>
    </w:tbl>
    <w:bookmarkStart w:name="z175" w:id="154"/>
    <w:p>
      <w:pPr>
        <w:spacing w:after="0"/>
        <w:ind w:left="0"/>
        <w:jc w:val="left"/>
      </w:pPr>
      <w:r>
        <w:rPr>
          <w:rFonts w:ascii="Times New Roman"/>
          <w:b/>
          <w:i w:val="false"/>
          <w:color w:val="000000"/>
        </w:rPr>
        <w:t xml:space="preserve"> Субъективные критерии в области технического регулирования в отношении учебных центров</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рекомендаций выданных по результатам профилактического контроля без посещения субъекта (объекта)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предыдущих проверок и профилактического контроля с посещением субъектов (объектов) контроля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подготовки и повышения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осуществляется в форме квалификационных курсов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 изданных нормативных, справочных и учебно-методических документов, включенных в учебные планы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планов по каждому квалификационному курсу, в том числе лекции, практических занятий (при необходимости), предназначенных к обязательному усвоению знаний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преподавательского состава, осуществляющего подготовку и повышение квалификации слушателей в соответствии с учебным планом, в зависимости от области обучения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учебным центром уполномоченного органа о внесенных изменениях, при изменении в учебных планах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учебным центром уполномоченного органа, при прекращении своей деятельности в течение 10 (десяти) календарных дней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технического регулирования в отношении учебных центров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области технического регулирования в отношении учебных центров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официальных сообщений на интернет ресурсах государственных органов, в средствах массовой информации о нарушениях в области технического регулирования в отношении учебных центров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подтвержденных сведений о нарушениях в области технического регулирования в отношении учебных центров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для отбора субъектов (объектов)</w:t>
            </w:r>
            <w:r>
              <w:br/>
            </w:r>
            <w:r>
              <w:rPr>
                <w:rFonts w:ascii="Times New Roman"/>
                <w:b w:val="false"/>
                <w:i w:val="false"/>
                <w:color w:val="000000"/>
                <w:sz w:val="20"/>
              </w:rPr>
              <w:t>контроля и надзора в области</w:t>
            </w:r>
            <w:r>
              <w:br/>
            </w:r>
            <w:r>
              <w:rPr>
                <w:rFonts w:ascii="Times New Roman"/>
                <w:b w:val="false"/>
                <w:i w:val="false"/>
                <w:color w:val="000000"/>
                <w:sz w:val="20"/>
              </w:rPr>
              <w:t>технического регулирования</w:t>
            </w:r>
          </w:p>
        </w:tc>
      </w:tr>
    </w:tbl>
    <w:bookmarkStart w:name="z177" w:id="155"/>
    <w:p>
      <w:pPr>
        <w:spacing w:after="0"/>
        <w:ind w:left="0"/>
        <w:jc w:val="left"/>
      </w:pPr>
      <w:r>
        <w:rPr>
          <w:rFonts w:ascii="Times New Roman"/>
          <w:b/>
          <w:i w:val="false"/>
          <w:color w:val="000000"/>
        </w:rPr>
        <w:t xml:space="preserve"> Субъективные критерии в области технического регулирования в отношении органа (организации), уполномоченного (уполномоченной)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w:t>
      </w:r>
    </w:p>
    <w:bookmarkEnd w:id="1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Неисполнение рекомендаций выданных по результатам профилактического контроля без посещения субъекта (объекта) контроля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предыдущих проверок и профилактического контроля с посещением субъектов (объектов) контроля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об оформлении сертификата о происхождении товара в произвольной форме, перед оформлением сертификата о происхождении товара формы "CT-KZ" составленное уполномоченным лицом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экспортируемого, реэкспортируемого из Республики Казахстан не позднее 1 (одного) рабочего дня, за исключением, когда выдача осуществляется не позднее 3 (трех) рабочих дней, следующих за днем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формы "СТ-KZ" или письменного мотивированного решения об отказе в его выдаче не позднее 3 (трех) рабочих дней в электронной форме посредством информационной системы уполномоченной организации посредством информационной системы уполномоченной организации, наделенная правом оформления, удостоверения и выдачи сертификата о происхождении товара (далее – уполномоченная организация)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физического или юридического лица на получение сертификата о происхождении товара, экспортируемого, реэкспортируемого из Республики Казахстан, об определении статуса товара Евразийского экономического союза или иностранного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транспортных документов, при экспортировании товара в страны государств-членов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документов при проведении экспертизы происхождения товара совместно с заявкой на проведение экспертизы происхождения товара для внутреннего обращения:</w:t>
            </w:r>
          </w:p>
          <w:p>
            <w:pPr>
              <w:spacing w:after="20"/>
              <w:ind w:left="20"/>
              <w:jc w:val="both"/>
            </w:pPr>
            <w:r>
              <w:rPr>
                <w:rFonts w:ascii="Times New Roman"/>
                <w:b w:val="false"/>
                <w:i w:val="false"/>
                <w:color w:val="000000"/>
                <w:sz w:val="20"/>
              </w:rPr>
              <w:t>
1) документы, подтверждающие юридический статус заявителя (для юридических лиц - справка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документ подтверждающий постановку физического лица на регистрационный учет в качестве лица, занимающегося частной практикой) предоставляются 1 (один) раз в год;</w:t>
            </w:r>
          </w:p>
          <w:p>
            <w:pPr>
              <w:spacing w:after="20"/>
              <w:ind w:left="20"/>
              <w:jc w:val="both"/>
            </w:pPr>
            <w:r>
              <w:rPr>
                <w:rFonts w:ascii="Times New Roman"/>
                <w:b w:val="false"/>
                <w:i w:val="false"/>
                <w:color w:val="000000"/>
                <w:sz w:val="20"/>
              </w:rPr>
              <w:t>
2) документы, подтверждающие приобретение товара (когда заявитель не является производителем заявленного товара) - договор с производителем товара или на приобретение товара, накладные, счета-фактуры;</w:t>
            </w:r>
          </w:p>
          <w:p>
            <w:pPr>
              <w:spacing w:after="20"/>
              <w:ind w:left="20"/>
              <w:jc w:val="both"/>
            </w:pPr>
            <w:r>
              <w:rPr>
                <w:rFonts w:ascii="Times New Roman"/>
                <w:b w:val="false"/>
                <w:i w:val="false"/>
                <w:color w:val="000000"/>
                <w:sz w:val="20"/>
              </w:rPr>
              <w:t>
документы для определения критерия достаточной переработки товара (для подтверждения стоимости сырья и (или) компонентов, используемых в производстве товара, договоры на поставку сырья и (или) счета-фактуры и (или) накладные, документация с описанием технологических операций, с приложением перечня нормативных технических документов, в соответствии с которыми произведен товар, перечень оборудования для производства заявленного товара, документы на производственное помещение, список работников с указанием должностей и (или) профессий, расчет стоимости готовой продукции на условиях цены "франко-завод" с учетом стоимости используемого сырья или компонента иностранного происхождения);</w:t>
            </w:r>
          </w:p>
          <w:p>
            <w:pPr>
              <w:spacing w:after="20"/>
              <w:ind w:left="20"/>
              <w:jc w:val="both"/>
            </w:pPr>
            <w:r>
              <w:rPr>
                <w:rFonts w:ascii="Times New Roman"/>
                <w:b w:val="false"/>
                <w:i w:val="false"/>
                <w:color w:val="000000"/>
                <w:sz w:val="20"/>
              </w:rPr>
              <w:t>
3) сертификат о происхождении товара для внутреннего обращения (далее - сертификат о происхождении товара формы "СТ-KZ") и (или) документы, подтверждающие происхождение сырья, материалов и (или) компонентов, за исключением разрешительных документов на экспорт;</w:t>
            </w:r>
          </w:p>
          <w:p>
            <w:pPr>
              <w:spacing w:after="20"/>
              <w:ind w:left="20"/>
              <w:jc w:val="both"/>
            </w:pPr>
            <w:r>
              <w:rPr>
                <w:rFonts w:ascii="Times New Roman"/>
                <w:b w:val="false"/>
                <w:i w:val="false"/>
                <w:color w:val="000000"/>
                <w:sz w:val="20"/>
              </w:rPr>
              <w:t>
4)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p>
            <w:pPr>
              <w:spacing w:after="20"/>
              <w:ind w:left="20"/>
              <w:jc w:val="both"/>
            </w:pPr>
            <w:r>
              <w:rPr>
                <w:rFonts w:ascii="Times New Roman"/>
                <w:b w:val="false"/>
                <w:i w:val="false"/>
                <w:color w:val="000000"/>
                <w:sz w:val="20"/>
              </w:rPr>
              <w:t>
5) доверенность на представление интересов заявителя (когда заявление подается не руководителем);</w:t>
            </w:r>
          </w:p>
          <w:p>
            <w:pPr>
              <w:spacing w:after="20"/>
              <w:ind w:left="20"/>
              <w:jc w:val="both"/>
            </w:pPr>
            <w:r>
              <w:rPr>
                <w:rFonts w:ascii="Times New Roman"/>
                <w:b w:val="false"/>
                <w:i w:val="false"/>
                <w:color w:val="000000"/>
                <w:sz w:val="20"/>
              </w:rPr>
              <w:t>
6)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партии продукции на указанной территории;</w:t>
            </w:r>
          </w:p>
          <w:p>
            <w:pPr>
              <w:spacing w:after="20"/>
              <w:ind w:left="20"/>
              <w:jc w:val="both"/>
            </w:pPr>
            <w:r>
              <w:rPr>
                <w:rFonts w:ascii="Times New Roman"/>
                <w:b w:val="false"/>
                <w:i w:val="false"/>
                <w:color w:val="000000"/>
                <w:sz w:val="20"/>
              </w:rPr>
              <w:t xml:space="preserve">
7) декларация по индивидуальному подоходному налогу и социальному налогу за предыдущий квартал (форма 200.00), упрощенная декларация для субъектов малого предпринимательства за предыдущее полугодие (форма 910.00), декларация для плательщиков единого земельного налога (форма 920.00) и (или) трудовые договора, документы об оплате обязательных платежей с доходов работников за последние три месяца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идентификации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 место нахождения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технологического процесса при производстве товара с целью установления критерия достаточной переработки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расчета доли местного содержания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соответствия заявленного товара по ТН ВЭД и НК РК 04 "Классификатор продукции по видам экономической деятельности"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на приобретение товара (договор, счет-фактура) при подтверждениях происхождения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факт ввоза товара на территорию Республики Казахстан (декларация на товары (если товар ввезен с территории государств-членов Евразийского экономического союза, то декларация на товары не предоставляется), документы о перевозке товара (если товар транспортируется автомобильным транспортом с территории государств-членов Евразийского экономического союза, то дополнительно представляется талон прохождения государственного контроля)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происхождение товара (сертификат о происхождении товара или декларация о происхождении товара) для товаров, реэкспортируемых из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акта экспертизы на предмет определения страны происхождения товара для внутреннего обращения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товара по Товарной номенклатурой внешнеэкономической деятельности на уровне любого из первых четырех знаков, произошедшее в результате переработки товара для соблюдения критериев достаточной переработки товара казахстанского происхождения для внутреннего обращения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правил адвалорной доли, расчет адвалорной доли в производстве товара:</w:t>
            </w:r>
          </w:p>
          <w:p>
            <w:pPr>
              <w:spacing w:after="20"/>
              <w:ind w:left="20"/>
              <w:jc w:val="both"/>
            </w:pPr>
            <w:r>
              <w:rPr>
                <w:rFonts w:ascii="Times New Roman"/>
                <w:b w:val="false"/>
                <w:i w:val="false"/>
                <w:color w:val="000000"/>
                <w:sz w:val="20"/>
              </w:rPr>
              <w:t>
1) для импортированных товаров - по таможенной стоимости этих товаров при их ввозе в страну, где осуществляется производство конечной продукции, или когда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p>
          <w:p>
            <w:pPr>
              <w:spacing w:after="20"/>
              <w:ind w:left="20"/>
              <w:jc w:val="both"/>
            </w:pPr>
            <w:r>
              <w:rPr>
                <w:rFonts w:ascii="Times New Roman"/>
                <w:b w:val="false"/>
                <w:i w:val="false"/>
                <w:color w:val="000000"/>
                <w:sz w:val="20"/>
              </w:rPr>
              <w:t>
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"франко-завод")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сертификата о происхождении товара на бланках, имеющих степени защиты: первый экземпляр–подлинник, второй и третий экземпляр – копии, ведение учета использования, хранения и выдачи бланков сертификата о происхождении товара уполномоченной организацией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заявителю оформленного сертификата под роспись в журнале регистрации выданных сертификатов о происхождении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документов и поверку сведений в них, и составление заключения в произвольной форме об оформлении сертификата о происхождении товара либо об отказе в оформлении сертификата о происхождении товара лицом,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выезда на место нахождения производства заявляемого товара для проверки места производства серийной продукции, когда на момент подачи заявки на получение сертификата о происхождении серийной продукции у заявителя отсутствовал сертификат о происхождении товара формы "СТ-1" или "СТ-KZ" в отношении запрашиваемого товара, выданного за последние 2 (два)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происхождения товара экспертом-аудитором в срок не более пяти рабочих дней с момента представления и регистрации заявки с полным пакетом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по определению страны происхождения товара для внутреннего обращения на договорной основе на основании заявки на проведение экспертизы происхождения товара для внутреннего обращения по утвержденной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позволяющих идентифицировать используемые при производстве сырье, материалы, комплектующие изделия и (или) документы, удостоверяющие их происхождение при проведении дополнительных исследований и невозможности идентификации товара по внешним признакам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испытаний, выданные аккредитованными испытательными лабораториями (центрами), при невозможности идентификации товара без лабораторных испытании (измерений) при проведении дополнительных исследований и невозможности идентификации товара по внешним признакам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 выдача акта экспертизы о происхождении товара для внутреннего обращения по утвержденной форме, юридическим лицом, имеющим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 о том, что товар является:</w:t>
            </w:r>
          </w:p>
          <w:p>
            <w:pPr>
              <w:spacing w:after="20"/>
              <w:ind w:left="20"/>
              <w:jc w:val="both"/>
            </w:pPr>
            <w:r>
              <w:rPr>
                <w:rFonts w:ascii="Times New Roman"/>
                <w:b w:val="false"/>
                <w:i w:val="false"/>
                <w:color w:val="000000"/>
                <w:sz w:val="20"/>
              </w:rPr>
              <w:t>
1) полностью казахстанского происхождения;</w:t>
            </w:r>
          </w:p>
          <w:p>
            <w:pPr>
              <w:spacing w:after="20"/>
              <w:ind w:left="20"/>
              <w:jc w:val="both"/>
            </w:pPr>
            <w:r>
              <w:rPr>
                <w:rFonts w:ascii="Times New Roman"/>
                <w:b w:val="false"/>
                <w:i w:val="false"/>
                <w:color w:val="000000"/>
                <w:sz w:val="20"/>
              </w:rPr>
              <w:t>
2) казахстанского происхождения с учетом критерия достаточной переработки товара;</w:t>
            </w:r>
          </w:p>
          <w:p>
            <w:pPr>
              <w:spacing w:after="20"/>
              <w:ind w:left="20"/>
              <w:jc w:val="both"/>
            </w:pPr>
            <w:r>
              <w:rPr>
                <w:rFonts w:ascii="Times New Roman"/>
                <w:b w:val="false"/>
                <w:i w:val="false"/>
                <w:color w:val="000000"/>
                <w:sz w:val="20"/>
              </w:rPr>
              <w:t>
3) иностранного происхождения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экспертизы о происхождении товара для внутреннего обращения на партию товара сроком действия двенадцать месяцев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 и документов, доказывающих факты приобретения не менее одного закупа сырья, материалов и (или) компонентов (накладные и (или) счета-фактуры), использованных в период действия сертификатов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и лифтов, эскалаторов, траволаторов, подъемников для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за исключением производителей лекарственных средств и медицинских изделий, которые предоставляют сертификат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акте экспертизы о происхождении товара, при установлении происхождения товара, произведенного из товаров (сырья, материалов, продукции) полностью казахстанского происхождения:</w:t>
            </w:r>
          </w:p>
          <w:p>
            <w:pPr>
              <w:spacing w:after="20"/>
              <w:ind w:left="20"/>
              <w:jc w:val="both"/>
            </w:pPr>
            <w:r>
              <w:rPr>
                <w:rFonts w:ascii="Times New Roman"/>
                <w:b w:val="false"/>
                <w:i w:val="false"/>
                <w:color w:val="000000"/>
                <w:sz w:val="20"/>
              </w:rPr>
              <w:t>
1) технологический процесс изготовления данного товара (нормативный документ, технологические инструкции);</w:t>
            </w:r>
          </w:p>
          <w:p>
            <w:pPr>
              <w:spacing w:after="20"/>
              <w:ind w:left="20"/>
              <w:jc w:val="both"/>
            </w:pPr>
            <w:r>
              <w:rPr>
                <w:rFonts w:ascii="Times New Roman"/>
                <w:b w:val="false"/>
                <w:i w:val="false"/>
                <w:color w:val="000000"/>
                <w:sz w:val="20"/>
              </w:rPr>
              <w:t>
2) поставщики сырья, материалов и компонентов, использованных при производстве товара;</w:t>
            </w:r>
          </w:p>
          <w:p>
            <w:pPr>
              <w:spacing w:after="20"/>
              <w:ind w:left="20"/>
              <w:jc w:val="both"/>
            </w:pPr>
            <w:r>
              <w:rPr>
                <w:rFonts w:ascii="Times New Roman"/>
                <w:b w:val="false"/>
                <w:i w:val="false"/>
                <w:color w:val="000000"/>
                <w:sz w:val="20"/>
              </w:rPr>
              <w:t>
3) счета-фактура и (или) накладные на поставку сырья, материалов и компонентов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технического регулирования в отношении органа (организации), уполномоченного (уполномоченной)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области технического регулирования в отношении органа (организации), уполномоченного (уполномоченной)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официальных сообщений на интернет ресурсах государственных органов, в средствах массовой информации о нарушениях в области технического регулирования в отношении органа (организации), уполномоченного (уполномоченной)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о нарушениях в области технического регулирования в отношении органа (организации), уполномоченного (уполномоченной)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для отбора субъектов (объектов)</w:t>
            </w:r>
            <w:r>
              <w:br/>
            </w:r>
            <w:r>
              <w:rPr>
                <w:rFonts w:ascii="Times New Roman"/>
                <w:b w:val="false"/>
                <w:i w:val="false"/>
                <w:color w:val="000000"/>
                <w:sz w:val="20"/>
              </w:rPr>
              <w:t>контроля и надзора в области</w:t>
            </w:r>
            <w:r>
              <w:br/>
            </w:r>
            <w:r>
              <w:rPr>
                <w:rFonts w:ascii="Times New Roman"/>
                <w:b w:val="false"/>
                <w:i w:val="false"/>
                <w:color w:val="000000"/>
                <w:sz w:val="20"/>
              </w:rPr>
              <w:t>технического регулирования</w:t>
            </w:r>
          </w:p>
        </w:tc>
      </w:tr>
    </w:tbl>
    <w:bookmarkStart w:name="z195" w:id="156"/>
    <w:p>
      <w:pPr>
        <w:spacing w:after="0"/>
        <w:ind w:left="0"/>
        <w:jc w:val="left"/>
      </w:pPr>
      <w:r>
        <w:rPr>
          <w:rFonts w:ascii="Times New Roman"/>
          <w:b/>
          <w:i w:val="false"/>
          <w:color w:val="000000"/>
        </w:rPr>
        <w:t xml:space="preserve"> Субъективные критерии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bookmarkEnd w:id="1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 надзора (итоговые документы, выданные по итогам профилактического контроля без посещения субъекта (объекта)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результатам профилактического контроля без посещения субъекта (объекта)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предыдущих проверок и профилактического контроля с посещением субъектов (объектов) контроля и надзора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изготовителем и (или) уполномоченным изготовителем лицом и (или) импортером при выпуске в обращение продукции полной, необходимой, однозначно понимаемой и достоверной информацией о ней, исключающая ввод в заблуждение потребителей относительно состава, свойств, назначения, изготовителя и (или) уполномоченного изготовителем лица и (или)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информацией для потребителя и текста маркировки на государственном и русском языках, с учетом норм правописания государственного и русского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расположенной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нанесенной способом, предусмотренным документами по стандартизации, и предоставленной в четкой и легко читаемой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недопущения указывания наименования, вводящее потребителей в заблуждение относительно происхождения (природы) продукции, указание наименование другой аналогичной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о продукции включающую информацию об отличительных свойствах продукции, состоянии и специальной обработке (при наличии) в соответствии с действующими документами по стандартизации на отдельный вид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наличия соответствующей информации при изготовлении (производстве) продукции обработанного основного ингредиента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регистрационный номер и дату регистрации для продукции, подлежащей в соответствии с законодательством Республики Казахстан государственной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массе нетто, брутто, основных размеров и объемов продукции указывающийся в метрической системе мер (Международной системе единиц) на упаковке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при наличии требований безопасности при хранении, перевозке, использовании, утилизации (переработки), уничтожении продукции выделяемой от остальной информации для потребителя другим шрифтом, цветом или иными способами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наличием этикетки, которая легко читаема сквозь наружную упаковку, либо наличие аналогичной этикетки на наружной упаковке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сохранности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обеспечивающая любым способом, гарантируя ее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отзыва продукции изготовителем, уполномоченным изготовителем лицом, импортером или продавцом при выпуске в обращение продукции, не соответствующей требованиям технических регламентов, с указанием идентификации конкретной партии, объема, единицы продукции подлежащей отзыву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переработки, утилизации, уничтожению либо обратного вывоза с территории Республики Казахстан отозванной продукции со дня выявления неустранимых несоответствии в течение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информированию изготовителем, уполномоченным изготовителем лицо, импортером или продавцом о результатах принятых мер по отзыву продукции с предоставлением сведений о продукциях (наименование, код товарной номенклатуры внешней экономической деятельности, количество (единица (в штуках), масса (в килограммах), объем (в литрах), стоимость, № партии, дата изготовления, сведения о документе об оценке соответствия) и указанием выявленных несоответствий (пунктов, статей) требований технического регламента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лицом, импортером или продавцом по оповещению приобретателей на казахском и (или) русском языках посредством информационно-коммуникационных технологий, с указанием своих контактных данных для получения подробной информации об условиях отзыва (путем обмена, возврата, возмещения), место расположения пунктов приема такой продукции и ответственных лиц с обязательным предупреждением о возможности нарушения прав и законных интересов приобретателя, причинения вреда жизни и здоровью человека и окружающей среде в результате использования такой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 импортером или продавцом по оповещению при наличии контактных данных приобретателя об отзыве продукции, не соответствующей требованиям технических регламентов, в течение 3 (трех) календарных дней с момента установления факта выпуска в обращение продукции, не соответствующей требованиям технических регламентов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проведения процедуры обязательного подтверждения соответствия требованиям, установленным техническими регламентами для дальнейшего использования переработанной продукции или ее обращения на рынке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помещением для хранения у субъекта надзора или третьего лица на основании договора хранения, заключенного с субъектом надзора, в соответствии с гражданским законодательством Республики Казахстан изъятой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хранению изъятой продукции в соответствии с требованиями нормативных документов по стандартизации на изъятую продукцию и условиями хранения, указанными в маркировке или в товаросопроводительных документах на продукцию субъектом надзора или третьим лицом, осуществляющих хранение изъятой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в зоне, исключающей ее соприкосновение с иной продукцией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с надписью: "ИЗЪЯТО, ПРОДУКЦИЯ НЕ СООТВЕТСТВУЕТ ТРЕБОВАНИЯМ ТЕХНИЧЕСКОГО РЕГЛАМЕНТА" и нанесению данной надписи с учетом контраста между цветами фона и надписи с обеспечением возможности прочтения информации без применения оптических приспособлений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изготовителем, уполномоченного изготовителем лицом, импортером или продавцом по обеспечению хранения изъятой продукции до вступления в силу решения суда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железнодорожного подвижного состава и его составных частей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и производстве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7) установления критериев предельных состояний продукции;</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проведения оценки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и его составных частей требованиям по прочности, устойчивости и техническому состоянию безопасному движению поездов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железнодорожным подвижным составом и его составными частями:</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выполнение условий эксплуатации с учетом внешних климатических и механических воздействий;</w:t>
            </w:r>
          </w:p>
          <w:p>
            <w:pPr>
              <w:spacing w:after="20"/>
              <w:ind w:left="20"/>
              <w:jc w:val="both"/>
            </w:pPr>
            <w:r>
              <w:rPr>
                <w:rFonts w:ascii="Times New Roman"/>
                <w:b w:val="false"/>
                <w:i w:val="false"/>
                <w:color w:val="000000"/>
                <w:sz w:val="20"/>
              </w:rPr>
              <w:t>
3)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4) устойчивость от схода колеса с рельса;</w:t>
            </w:r>
          </w:p>
          <w:p>
            <w:pPr>
              <w:spacing w:after="20"/>
              <w:ind w:left="20"/>
              <w:jc w:val="both"/>
            </w:pPr>
            <w:r>
              <w:rPr>
                <w:rFonts w:ascii="Times New Roman"/>
                <w:b w:val="false"/>
                <w:i w:val="false"/>
                <w:color w:val="000000"/>
                <w:sz w:val="20"/>
              </w:rPr>
              <w:t>
5) устойчивость от опрокидывания в криволинейных участках пути;</w:t>
            </w:r>
          </w:p>
          <w:p>
            <w:pPr>
              <w:spacing w:after="20"/>
              <w:ind w:left="20"/>
              <w:jc w:val="both"/>
            </w:pPr>
            <w:r>
              <w:rPr>
                <w:rFonts w:ascii="Times New Roman"/>
                <w:b w:val="false"/>
                <w:i w:val="false"/>
                <w:color w:val="000000"/>
                <w:sz w:val="20"/>
              </w:rPr>
              <w:t>
6) предотвращение самопроизвольного ухода с места стоянки;</w:t>
            </w:r>
          </w:p>
          <w:p>
            <w:pPr>
              <w:spacing w:after="20"/>
              <w:ind w:left="20"/>
              <w:jc w:val="both"/>
            </w:pPr>
            <w:r>
              <w:rPr>
                <w:rFonts w:ascii="Times New Roman"/>
                <w:b w:val="false"/>
                <w:i w:val="false"/>
                <w:color w:val="000000"/>
                <w:sz w:val="20"/>
              </w:rPr>
              <w:t>
7) сцепление в поездах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8) допускаемый тормозной путь;</w:t>
            </w:r>
          </w:p>
          <w:p>
            <w:pPr>
              <w:spacing w:after="20"/>
              <w:ind w:left="20"/>
              <w:jc w:val="both"/>
            </w:pPr>
            <w:r>
              <w:rPr>
                <w:rFonts w:ascii="Times New Roman"/>
                <w:b w:val="false"/>
                <w:i w:val="false"/>
                <w:color w:val="000000"/>
                <w:sz w:val="20"/>
              </w:rPr>
              <w:t>
9)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10) предотвращение падения составных частей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11)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12) санитарно-эпидемиологическую и экологическую безопасность;</w:t>
            </w:r>
          </w:p>
          <w:p>
            <w:pPr>
              <w:spacing w:after="20"/>
              <w:ind w:left="20"/>
              <w:jc w:val="both"/>
            </w:pPr>
            <w:r>
              <w:rPr>
                <w:rFonts w:ascii="Times New Roman"/>
                <w:b w:val="false"/>
                <w:i w:val="false"/>
                <w:color w:val="000000"/>
                <w:sz w:val="20"/>
              </w:rPr>
              <w:t>
13)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14)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 п) выполнение требований пожарной безопасности;</w:t>
            </w:r>
          </w:p>
          <w:p>
            <w:pPr>
              <w:spacing w:after="20"/>
              <w:ind w:left="20"/>
              <w:jc w:val="both"/>
            </w:pPr>
            <w:r>
              <w:rPr>
                <w:rFonts w:ascii="Times New Roman"/>
                <w:b w:val="false"/>
                <w:i w:val="false"/>
                <w:color w:val="000000"/>
                <w:sz w:val="20"/>
              </w:rPr>
              <w:t>
15) прочность при допустимых режимах нагружения и воздействиях;</w:t>
            </w:r>
          </w:p>
          <w:p>
            <w:pPr>
              <w:spacing w:after="20"/>
              <w:ind w:left="20"/>
              <w:jc w:val="both"/>
            </w:pPr>
            <w:r>
              <w:rPr>
                <w:rFonts w:ascii="Times New Roman"/>
                <w:b w:val="false"/>
                <w:i w:val="false"/>
                <w:color w:val="000000"/>
                <w:sz w:val="20"/>
              </w:rPr>
              <w:t>
16)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17)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18)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19) безопасность конструкции грузовых, почтовых и багажных вагонов при погрузке и разгрузке с применением средств механизации;</w:t>
            </w:r>
          </w:p>
          <w:p>
            <w:pPr>
              <w:spacing w:after="20"/>
              <w:ind w:left="20"/>
              <w:jc w:val="both"/>
            </w:pPr>
            <w:r>
              <w:rPr>
                <w:rFonts w:ascii="Times New Roman"/>
                <w:b w:val="false"/>
                <w:i w:val="false"/>
                <w:color w:val="000000"/>
                <w:sz w:val="20"/>
              </w:rPr>
              <w:t>
20) сцепление вагонов при роспуске с горок и (или) проходе по аппарельному съезду парома;</w:t>
            </w:r>
          </w:p>
          <w:p>
            <w:pPr>
              <w:spacing w:after="20"/>
              <w:ind w:left="20"/>
              <w:jc w:val="both"/>
            </w:pPr>
            <w:r>
              <w:rPr>
                <w:rFonts w:ascii="Times New Roman"/>
                <w:b w:val="false"/>
                <w:i w:val="false"/>
                <w:color w:val="000000"/>
                <w:sz w:val="20"/>
              </w:rPr>
              <w:t>
21) отсутствие касаний составных частей железнодорожного подвижного состава между собой и с элементами инфраструктуры железнодорожного транспорта, не предусмотренных конструкторской документацией;</w:t>
            </w:r>
          </w:p>
          <w:p>
            <w:pPr>
              <w:spacing w:after="20"/>
              <w:ind w:left="20"/>
              <w:jc w:val="both"/>
            </w:pPr>
            <w:r>
              <w:rPr>
                <w:rFonts w:ascii="Times New Roman"/>
                <w:b w:val="false"/>
                <w:i w:val="false"/>
                <w:color w:val="000000"/>
                <w:sz w:val="20"/>
              </w:rPr>
              <w:t>
22)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путям необщего пользования;</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снижения при внесении изменений в конструкцию железнодорожного подвижного состава и его составных частей установленных при проектировании требований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проведения обязательного подтверждения соответствия при внесении изменений в конструкцию или технологию изготовления железнодорожного подвижного состава и его составных частей, влияющих на безопасность, а также при модернизации с продлением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и его составных частях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маркировки соответствующей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составных частях железнодорожного подвижного состава маркировки соответствующей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колесных парах железнодорожного подвижного состава в соответствии с конструкторской документацией знака маркировки и клеймения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отлитых знаков маркировки на рамах и балках тележек грузовых вагонов в соответствии с конструкторской документацией содержащее:</w:t>
            </w:r>
          </w:p>
          <w:p>
            <w:pPr>
              <w:spacing w:after="20"/>
              <w:ind w:left="20"/>
              <w:jc w:val="both"/>
            </w:pPr>
            <w:r>
              <w:rPr>
                <w:rFonts w:ascii="Times New Roman"/>
                <w:b w:val="false"/>
                <w:i w:val="false"/>
                <w:color w:val="000000"/>
                <w:sz w:val="20"/>
              </w:rPr>
              <w:t>
1) условный номер изготовителя;</w:t>
            </w:r>
          </w:p>
          <w:p>
            <w:pPr>
              <w:spacing w:after="20"/>
              <w:ind w:left="20"/>
              <w:jc w:val="both"/>
            </w:pPr>
            <w:r>
              <w:rPr>
                <w:rFonts w:ascii="Times New Roman"/>
                <w:b w:val="false"/>
                <w:i w:val="false"/>
                <w:color w:val="000000"/>
                <w:sz w:val="20"/>
              </w:rPr>
              <w:t>
2) две последние цифры года изготовления;</w:t>
            </w:r>
          </w:p>
          <w:p>
            <w:pPr>
              <w:spacing w:after="20"/>
              <w:ind w:left="20"/>
              <w:jc w:val="both"/>
            </w:pPr>
            <w:r>
              <w:rPr>
                <w:rFonts w:ascii="Times New Roman"/>
                <w:b w:val="false"/>
                <w:i w:val="false"/>
                <w:color w:val="000000"/>
                <w:sz w:val="20"/>
              </w:rPr>
              <w:t>
3) порядковый номер рам и балок по системе нумерации изготовителя;</w:t>
            </w:r>
          </w:p>
          <w:p>
            <w:pPr>
              <w:spacing w:after="20"/>
              <w:ind w:left="20"/>
              <w:jc w:val="both"/>
            </w:pPr>
            <w:r>
              <w:rPr>
                <w:rFonts w:ascii="Times New Roman"/>
                <w:b w:val="false"/>
                <w:i w:val="false"/>
                <w:color w:val="000000"/>
                <w:sz w:val="20"/>
              </w:rPr>
              <w:t>
4) условное обозначение марки стали;</w:t>
            </w:r>
          </w:p>
          <w:p>
            <w:pPr>
              <w:spacing w:after="20"/>
              <w:ind w:left="20"/>
              <w:jc w:val="both"/>
            </w:pPr>
            <w:r>
              <w:rPr>
                <w:rFonts w:ascii="Times New Roman"/>
                <w:b w:val="false"/>
                <w:i w:val="false"/>
                <w:color w:val="000000"/>
                <w:sz w:val="20"/>
              </w:rPr>
              <w:t>
Рамы и балки тележек грузовых вагонов в соответствии с конструкторской документацией иметь знаки клеймения изготовителя, при исправлении дефекта рам и балок сваркой - и клеймо сварщика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пассажирских вагонов и вагонов моторвагонного подвижного состава в соответствии с конструкторской документацией содержащее:</w:t>
            </w:r>
          </w:p>
          <w:p>
            <w:pPr>
              <w:spacing w:after="20"/>
              <w:ind w:left="20"/>
              <w:jc w:val="both"/>
            </w:pPr>
            <w:r>
              <w:rPr>
                <w:rFonts w:ascii="Times New Roman"/>
                <w:b w:val="false"/>
                <w:i w:val="false"/>
                <w:color w:val="000000"/>
                <w:sz w:val="20"/>
              </w:rPr>
              <w:t>
1) знак обращения на рынке государств-членов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эксплуатационных документов на государственном языке государства-члена Евразийского экономического союза, в котором изготовлена продукция,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наличию комплекта эксплуатационной и ремонтной документации при вводе в эксплуатацию железнодорожного подвижного состава и его составных частей. </w:t>
            </w:r>
          </w:p>
          <w:p>
            <w:pPr>
              <w:spacing w:after="20"/>
              <w:ind w:left="20"/>
              <w:jc w:val="both"/>
            </w:pPr>
            <w:r>
              <w:rPr>
                <w:rFonts w:ascii="Times New Roman"/>
                <w:b w:val="false"/>
                <w:i w:val="false"/>
                <w:color w:val="000000"/>
                <w:sz w:val="20"/>
              </w:rPr>
              <w:t>
Изготовленная продукция, подлежащая обязательному подтверждению соответствия, выпускается в обращение при наличии соответствующих руководств по эксплуатации, выполнение требований и положений которых обеспечивает ее безопасную эксплуатацию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и монтажа оборудования железнодорожного подвижного состава обеспечивающего безопасность обслуживающего персонала при эксплуатации, осмотре, техническом обслуживании, ремонте.</w:t>
            </w:r>
          </w:p>
          <w:p>
            <w:pPr>
              <w:spacing w:after="20"/>
              <w:ind w:left="20"/>
              <w:jc w:val="both"/>
            </w:pPr>
            <w:r>
              <w:rPr>
                <w:rFonts w:ascii="Times New Roman"/>
                <w:b w:val="false"/>
                <w:i w:val="false"/>
                <w:color w:val="000000"/>
                <w:sz w:val="20"/>
              </w:rPr>
              <w:t>
Наличие на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системы управления, контроля и безопасности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p>
            <w:pPr>
              <w:spacing w:after="20"/>
              <w:ind w:left="20"/>
              <w:jc w:val="both"/>
            </w:pPr>
            <w:r>
              <w:rPr>
                <w:rFonts w:ascii="Times New Roman"/>
                <w:b w:val="false"/>
                <w:i w:val="false"/>
                <w:color w:val="000000"/>
                <w:sz w:val="20"/>
              </w:rPr>
              <w:t>
Исключение системами управления и контроля железнодорожного подвижного состава созданий опасных ситуаций при возможных логических ошибках обслуживающего персонала.</w:t>
            </w:r>
          </w:p>
          <w:p>
            <w:pPr>
              <w:spacing w:after="20"/>
              <w:ind w:left="20"/>
              <w:jc w:val="both"/>
            </w:pPr>
            <w:r>
              <w:rPr>
                <w:rFonts w:ascii="Times New Roman"/>
                <w:b w:val="false"/>
                <w:i w:val="false"/>
                <w:color w:val="000000"/>
                <w:sz w:val="20"/>
              </w:rPr>
              <w:t>
Наличие в системах управления, контроля и безопасности средств сигнализации и информирования, предупреждающие о нарушениях исправного состояния железнодорожного подвижного состава и его составных частей, которые привести к возникновению ситуаций, угрожающих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железнодорожного подвижного состава, как встраиваемыми, так и поставляемыми на материальных носителях следующего:</w:t>
            </w:r>
          </w:p>
          <w:p>
            <w:pPr>
              <w:spacing w:after="20"/>
              <w:ind w:left="20"/>
              <w:jc w:val="both"/>
            </w:pPr>
            <w:r>
              <w:rPr>
                <w:rFonts w:ascii="Times New Roman"/>
                <w:b w:val="false"/>
                <w:i w:val="false"/>
                <w:color w:val="000000"/>
                <w:sz w:val="20"/>
              </w:rPr>
              <w:t>
1) работоспособность после перезагрузок, вызванных сбоями и (или)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системой управления, контроля и безопасности железнодорожного подвижного состава в случаях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изменений характеристик и режимов работы, которые приводят к нарушению безопасного состояния железнодорожного подвижного состава. Недопущение сбоем системы управления при исправной работе бортовых устройств безопасности, остановки железнодорожного подвижного состава и к нарушению его проектных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(или)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или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грузовых локомотивов и специальных самоходных железнодорожных подвижных составов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приборы контроля скорости движения;</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устройство контроля плотности пневматической тормозной магистрали.</w:t>
            </w:r>
          </w:p>
          <w:p>
            <w:pPr>
              <w:spacing w:after="20"/>
              <w:ind w:left="20"/>
              <w:jc w:val="both"/>
            </w:pPr>
            <w:r>
              <w:rPr>
                <w:rFonts w:ascii="Times New Roman"/>
                <w:b w:val="false"/>
                <w:i w:val="false"/>
                <w:color w:val="000000"/>
                <w:sz w:val="20"/>
              </w:rPr>
              <w:t>
Грузовые локомотивы, предназначенные для эксплуатации на участках с интенсивным движением и для вождения соединенных поездов оборудованы следующими устройствами:</w:t>
            </w:r>
          </w:p>
          <w:p>
            <w:pPr>
              <w:spacing w:after="20"/>
              <w:ind w:left="20"/>
              <w:jc w:val="both"/>
            </w:pPr>
            <w:r>
              <w:rPr>
                <w:rFonts w:ascii="Times New Roman"/>
                <w:b w:val="false"/>
                <w:i w:val="false"/>
                <w:color w:val="000000"/>
                <w:sz w:val="20"/>
              </w:rPr>
              <w:t>
1)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2) автоматическая пожарная сигнализация.</w:t>
            </w:r>
          </w:p>
          <w:p>
            <w:pPr>
              <w:spacing w:after="20"/>
              <w:ind w:left="20"/>
              <w:jc w:val="both"/>
            </w:pPr>
            <w:r>
              <w:rPr>
                <w:rFonts w:ascii="Times New Roman"/>
                <w:b w:val="false"/>
                <w:i w:val="false"/>
                <w:color w:val="000000"/>
                <w:sz w:val="20"/>
              </w:rPr>
              <w:t>
Грузовые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маневровых локомотивов следующими устройствами:</w:t>
            </w:r>
          </w:p>
          <w:p>
            <w:pPr>
              <w:spacing w:after="20"/>
              <w:ind w:left="20"/>
              <w:jc w:val="both"/>
            </w:pPr>
            <w:r>
              <w:rPr>
                <w:rFonts w:ascii="Times New Roman"/>
                <w:b w:val="false"/>
                <w:i w:val="false"/>
                <w:color w:val="000000"/>
                <w:sz w:val="20"/>
              </w:rPr>
              <w:t>
1) дистанционная отцепка от вагонов;</w:t>
            </w:r>
          </w:p>
          <w:p>
            <w:pPr>
              <w:spacing w:after="20"/>
              <w:ind w:left="20"/>
              <w:jc w:val="both"/>
            </w:pPr>
            <w:r>
              <w:rPr>
                <w:rFonts w:ascii="Times New Roman"/>
                <w:b w:val="false"/>
                <w:i w:val="false"/>
                <w:color w:val="000000"/>
                <w:sz w:val="20"/>
              </w:rPr>
              <w:t>
2) маневровая радиосвязь, совместимая с маневровой радиосвязью, используемой на участках обращения маневровых локомотивов.</w:t>
            </w:r>
          </w:p>
          <w:p>
            <w:pPr>
              <w:spacing w:after="20"/>
              <w:ind w:left="20"/>
              <w:jc w:val="both"/>
            </w:pPr>
            <w:r>
              <w:rPr>
                <w:rFonts w:ascii="Times New Roman"/>
                <w:b w:val="false"/>
                <w:i w:val="false"/>
                <w:color w:val="000000"/>
                <w:sz w:val="20"/>
              </w:rPr>
              <w:t>
Маневровые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второй пульт управления;</w:t>
            </w:r>
          </w:p>
          <w:p>
            <w:pPr>
              <w:spacing w:after="20"/>
              <w:ind w:left="20"/>
              <w:jc w:val="both"/>
            </w:pPr>
            <w:r>
              <w:rPr>
                <w:rFonts w:ascii="Times New Roman"/>
                <w:b w:val="false"/>
                <w:i w:val="false"/>
                <w:color w:val="000000"/>
                <w:sz w:val="20"/>
              </w:rPr>
              <w:t>
2) зеркала заднего вида или аналогичные устройства;</w:t>
            </w:r>
          </w:p>
          <w:p>
            <w:pPr>
              <w:spacing w:after="20"/>
              <w:ind w:left="20"/>
              <w:jc w:val="both"/>
            </w:pPr>
            <w:r>
              <w:rPr>
                <w:rFonts w:ascii="Times New Roman"/>
                <w:b w:val="false"/>
                <w:i w:val="false"/>
                <w:color w:val="000000"/>
                <w:sz w:val="20"/>
              </w:rPr>
              <w:t>
3) устройства, обеспечивающие автоматическую остановку при внезапной потери машинистом способности к ведению локомотива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локомотивов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автоматическая пожарная сигнализация;</w:t>
            </w:r>
          </w:p>
          <w:p>
            <w:pPr>
              <w:spacing w:after="20"/>
              <w:ind w:left="20"/>
              <w:jc w:val="both"/>
            </w:pPr>
            <w:r>
              <w:rPr>
                <w:rFonts w:ascii="Times New Roman"/>
                <w:b w:val="false"/>
                <w:i w:val="false"/>
                <w:color w:val="000000"/>
                <w:sz w:val="20"/>
              </w:rPr>
              <w:t>
4) регистраторы параметров движения;</w:t>
            </w:r>
          </w:p>
          <w:p>
            <w:pPr>
              <w:spacing w:after="20"/>
              <w:ind w:left="20"/>
              <w:jc w:val="both"/>
            </w:pPr>
            <w:r>
              <w:rPr>
                <w:rFonts w:ascii="Times New Roman"/>
                <w:b w:val="false"/>
                <w:i w:val="false"/>
                <w:color w:val="000000"/>
                <w:sz w:val="20"/>
              </w:rPr>
              <w:t>
5) автоматическая локомотивная сигнализация;</w:t>
            </w:r>
          </w:p>
          <w:p>
            <w:pPr>
              <w:spacing w:after="20"/>
              <w:ind w:left="20"/>
              <w:jc w:val="both"/>
            </w:pPr>
            <w:r>
              <w:rPr>
                <w:rFonts w:ascii="Times New Roman"/>
                <w:b w:val="false"/>
                <w:i w:val="false"/>
                <w:color w:val="000000"/>
                <w:sz w:val="20"/>
              </w:rPr>
              <w:t>
6) электропневматический тормоз.</w:t>
            </w:r>
          </w:p>
          <w:p>
            <w:pPr>
              <w:spacing w:after="20"/>
              <w:ind w:left="20"/>
              <w:jc w:val="both"/>
            </w:pPr>
            <w:r>
              <w:rPr>
                <w:rFonts w:ascii="Times New Roman"/>
                <w:b w:val="false"/>
                <w:i w:val="false"/>
                <w:color w:val="000000"/>
                <w:sz w:val="20"/>
              </w:rPr>
              <w:t>
Пассажирские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локомотивов, используемых для перевозки пассажиров, специальных и опасных грузов, и головных вагонов моторвагонного подвижного состава, аппаратурой спутниковой навигации, способствующей обеспечению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дополнение автоматической локомотивной сигнализации на локомотивах, моторвагонного подвижного состава и специального самоходного железнодорожного подвижного состава устройствами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 Обеспечение автоматической остановки поезда, в случаях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кабины машиниста локомотива, моторвагонного подвижного состава и специального самоходного железнодорожного подвижного состава следующим:</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p>
            <w:pPr>
              <w:spacing w:after="20"/>
              <w:ind w:left="20"/>
              <w:jc w:val="both"/>
            </w:pPr>
            <w:r>
              <w:rPr>
                <w:rFonts w:ascii="Times New Roman"/>
                <w:b w:val="false"/>
                <w:i w:val="false"/>
                <w:color w:val="000000"/>
                <w:sz w:val="20"/>
              </w:rPr>
              <w:t>
Соответствие ветровых стекол кабины машиниста локомотива, моторвагонного подвижного состава и специального самоходного железнодорожного подвижного состава надежному закреплению в окнах и уплотнению</w:t>
            </w:r>
          </w:p>
          <w:p>
            <w:pPr>
              <w:spacing w:after="20"/>
              <w:ind w:left="20"/>
              <w:jc w:val="both"/>
            </w:pPr>
            <w:r>
              <w:rPr>
                <w:rFonts w:ascii="Times New Roman"/>
                <w:b w:val="false"/>
                <w:i w:val="false"/>
                <w:color w:val="000000"/>
                <w:sz w:val="20"/>
              </w:rPr>
              <w:t>
Соответствие планировки кабины машиниста локомотива, моторвагонного подвижного состава и специального самоходного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p>
            <w:pPr>
              <w:spacing w:after="20"/>
              <w:ind w:left="20"/>
              <w:jc w:val="both"/>
            </w:pPr>
            <w:r>
              <w:rPr>
                <w:rFonts w:ascii="Times New Roman"/>
                <w:b w:val="false"/>
                <w:i w:val="false"/>
                <w:color w:val="000000"/>
                <w:sz w:val="20"/>
              </w:rPr>
              <w:t>
Обеспечение соответствия при проектировании пульта управления и рабочего места машиниста и его помощника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Обеспечение конструкции и расположений приборов и устройств управления, измерительных приборов, световых индикаторов на пульте управления видимости показаний указанных приборов и индикаторов в дневное и ночное время при отсутствии бликов от прямого или отраженного света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системами общего, местного и аварийного освещения.</w:t>
            </w:r>
          </w:p>
          <w:p>
            <w:pPr>
              <w:spacing w:after="20"/>
              <w:ind w:left="20"/>
              <w:jc w:val="both"/>
            </w:pPr>
            <w:r>
              <w:rPr>
                <w:rFonts w:ascii="Times New Roman"/>
                <w:b w:val="false"/>
                <w:i w:val="false"/>
                <w:color w:val="000000"/>
                <w:sz w:val="20"/>
              </w:rPr>
              <w:t>
Обеспечение системы аварийного освещения автоматическим переключателем на автономный источник питания (аккумуляторную батарею) при отсутствии напряжения в основном источнике питания. С предусмотренной возможностью ручного включения аварийного освещения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локомотива, моторвагонного подвижного состава и специального самоходного железнодорожного подвижного состава через боковые окна с использованием вспомогательных приспособлений.</w:t>
            </w:r>
          </w:p>
          <w:p>
            <w:pPr>
              <w:spacing w:after="20"/>
              <w:ind w:left="20"/>
              <w:jc w:val="both"/>
            </w:pPr>
            <w:r>
              <w:rPr>
                <w:rFonts w:ascii="Times New Roman"/>
                <w:b w:val="false"/>
                <w:i w:val="false"/>
                <w:color w:val="000000"/>
                <w:sz w:val="20"/>
              </w:rPr>
              <w:t>
Оборудование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аварийными выходами с каждой стороны вагона с наличием при необходимости средств аварийной эвакуации обслуживающего персонала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остекления внутренних помещений железнодорожного подвижного состава, предназначенных для обслуживающего персонала и пассажиров, при ударных воздействиях на железнодорожный подвижной состав во время его стоянки или в пути следования.</w:t>
            </w:r>
          </w:p>
          <w:p>
            <w:pPr>
              <w:spacing w:after="20"/>
              <w:ind w:left="20"/>
              <w:jc w:val="both"/>
            </w:pPr>
            <w:r>
              <w:rPr>
                <w:rFonts w:ascii="Times New Roman"/>
                <w:b w:val="false"/>
                <w:i w:val="false"/>
                <w:color w:val="000000"/>
                <w:sz w:val="20"/>
              </w:rPr>
              <w:t>
Обеспечение внутренних частей железнодорожного подвижного состава, требующих осмотра, настройки и технического обслуживания, и при необходимости наружного рабочего оборудования дополнительным освещением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автоматическими тормозами, обеспечивающими при торможении состава замедление или остановку в пределах расчетного тормозного пути.</w:t>
            </w:r>
          </w:p>
          <w:p>
            <w:pPr>
              <w:spacing w:after="20"/>
              <w:ind w:left="20"/>
              <w:jc w:val="both"/>
            </w:pPr>
            <w:r>
              <w:rPr>
                <w:rFonts w:ascii="Times New Roman"/>
                <w:b w:val="false"/>
                <w:i w:val="false"/>
                <w:color w:val="000000"/>
                <w:sz w:val="20"/>
              </w:rPr>
              <w:t>
Соответствие автоматического тормоза железнодорожного подвижного состава необходимой функциональности и надежности в различных условиях эксплуатации, обеспечивающее плавность торможения, а также остановку поезда при нарушении целостности тормозной магистрали или при несанкционированном расцеплении единиц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автоматическими тормозами возможности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p>
            <w:pPr>
              <w:spacing w:after="20"/>
              <w:ind w:left="20"/>
              <w:jc w:val="both"/>
            </w:pPr>
            <w:r>
              <w:rPr>
                <w:rFonts w:ascii="Times New Roman"/>
                <w:b w:val="false"/>
                <w:i w:val="false"/>
                <w:color w:val="000000"/>
                <w:sz w:val="20"/>
              </w:rPr>
              <w:t>
Наличие в тамбурах пассажирских вагонов и моторвагонном подвижном составе, внутри пассажирских вагонов опломбированных стоп-кранов.</w:t>
            </w:r>
          </w:p>
          <w:p>
            <w:pPr>
              <w:spacing w:after="20"/>
              <w:ind w:left="20"/>
              <w:jc w:val="both"/>
            </w:pPr>
            <w:r>
              <w:rPr>
                <w:rFonts w:ascii="Times New Roman"/>
                <w:b w:val="false"/>
                <w:i w:val="false"/>
                <w:color w:val="000000"/>
                <w:sz w:val="20"/>
              </w:rPr>
              <w:t>
Наличие в служебных помещениях изотермических вагонов со служебными и вспомогательными помещениями опломбированных стоп-кранов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стояночными тормозами. Оборудование части грузовых вагонов от общего числа выпускаемых, переходными площадками со стоп-краном и стояночным тормозом в соответствии со стандартами.</w:t>
            </w:r>
          </w:p>
          <w:p>
            <w:pPr>
              <w:spacing w:after="20"/>
              <w:ind w:left="20"/>
              <w:jc w:val="both"/>
            </w:pPr>
            <w:r>
              <w:rPr>
                <w:rFonts w:ascii="Times New Roman"/>
                <w:b w:val="false"/>
                <w:i w:val="false"/>
                <w:color w:val="000000"/>
                <w:sz w:val="20"/>
              </w:rPr>
              <w:t>
Обеспечение стояночными тормозами железнодорожного подвижного состава расчетного тормозного нажатия и удержания единицы железнодорожного подвижного состава.</w:t>
            </w:r>
          </w:p>
          <w:p>
            <w:pPr>
              <w:spacing w:after="20"/>
              <w:ind w:left="20"/>
              <w:jc w:val="both"/>
            </w:pPr>
            <w:r>
              <w:rPr>
                <w:rFonts w:ascii="Times New Roman"/>
                <w:b w:val="false"/>
                <w:i w:val="false"/>
                <w:color w:val="000000"/>
                <w:sz w:val="20"/>
              </w:rPr>
              <w:t>
Оснащение штурвала ручного стояночного тормоза устройством, исключающим самопроизвольное вращение штурвала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наличию предохранительных устройств, выдерживающих вес защищаемого ими оборудования на составных частях железнодорожного подвижного состава, разъединение или излом которых может вызвать их падение на железнодорожный путь или выход из габарита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главных воздушных резервуаров и аккумуляторных батарей железнодорожного подвижного состава, установленных вне кабины машиниста, пассажирских салонов и помещений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локомотивов и моторвагонного подвижного состава (при наличии) с работой пневматических и электропневматических тормозов при осуществлении служебного или экстренного торможения. Обеспечение автоматического замещения пневматическим тормозом при отказе электродинамического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работоспособности железнодорожного подвижного состава и его составных частей при температурах окружающего воздуха в пределах допустимых значений и сохранения работоспособности при кратковременном повышении температуры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сцепным устройством, исключающим самопроизвольное разъединение единиц железнодорожного подвижного состава и обеспечивающим его эвакуацию в экстренных случаях.</w:t>
            </w:r>
          </w:p>
          <w:p>
            <w:pPr>
              <w:spacing w:after="20"/>
              <w:ind w:left="20"/>
              <w:jc w:val="both"/>
            </w:pPr>
            <w:r>
              <w:rPr>
                <w:rFonts w:ascii="Times New Roman"/>
                <w:b w:val="false"/>
                <w:i w:val="false"/>
                <w:color w:val="000000"/>
                <w:sz w:val="20"/>
              </w:rPr>
              <w:t>
Включение в состав автосцепного устройства железнодорожного подвижного состава энергопоглощающего аппарата.</w:t>
            </w:r>
          </w:p>
          <w:p>
            <w:pPr>
              <w:spacing w:after="20"/>
              <w:ind w:left="20"/>
              <w:jc w:val="both"/>
            </w:pPr>
            <w:r>
              <w:rPr>
                <w:rFonts w:ascii="Times New Roman"/>
                <w:b w:val="false"/>
                <w:i w:val="false"/>
                <w:color w:val="000000"/>
                <w:sz w:val="20"/>
              </w:rPr>
              <w:t>
Оборудование пассажирских вагонов и моторвагонного подвижного состава, автосцепным устройством, буферными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колес, осей и бандажей колесных пар железнодорожного подвижного состава, боковых рам и надрессорных балок тележек грузовых вагонов запасом статической прочности и необходимым коэффициентом сопротивления усталости, которые обеспечивают стойкость к образованию и развитию дефектов (трещин) в течение указанного в конструкторской документации срока их полного освидетельствования или срока службы.</w:t>
            </w:r>
          </w:p>
          <w:p>
            <w:pPr>
              <w:spacing w:after="20"/>
              <w:ind w:left="20"/>
              <w:jc w:val="both"/>
            </w:pPr>
            <w:r>
              <w:rPr>
                <w:rFonts w:ascii="Times New Roman"/>
                <w:b w:val="false"/>
                <w:i w:val="false"/>
                <w:color w:val="000000"/>
                <w:sz w:val="20"/>
              </w:rPr>
              <w:t>
Обеспечение механическими свойствами, ударной вязкость и остаточным напряженным состоянием колес, осей и бандажей, боковых рам и надрессорных балок тележек грузовых вагонов механической безопасностью в течение назначенного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и веществ, применяемых при проектировании и производстве железнодорожного подвижного состава и его составных частей, требованиям безопасности для людей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характеристик (показатели микроклимата, уровни шума, вибрации, ультразвука, электромагнитного излучения, освещения, состава воздушной среды) систем жизнеобеспечения (система кондиционирования воздуха - отопление, вентиляция, охлаждение, системы освещения, шумо- и виброзащиты, воздухоочистки, защиты от инфразвука и ультразвука, электромагнитных излучений) кабин машинистов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допустимым значениям для рабочих мест.</w:t>
            </w:r>
          </w:p>
          <w:p>
            <w:pPr>
              <w:spacing w:after="20"/>
              <w:ind w:left="20"/>
              <w:jc w:val="both"/>
            </w:pPr>
            <w:r>
              <w:rPr>
                <w:rFonts w:ascii="Times New Roman"/>
                <w:b w:val="false"/>
                <w:i w:val="false"/>
                <w:color w:val="000000"/>
                <w:sz w:val="20"/>
              </w:rPr>
              <w:t>
Обеспечение не превышения уровня внешнего шума от железнодорожного подвижного состава допустимым значениям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возникновению опасных воздействий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надежного закрепления подножек и поручней железнодорожного подвижного состава, с припятствием скольжения поверхности ступенек, площадок, подножек и настилов.</w:t>
            </w:r>
          </w:p>
          <w:p>
            <w:pPr>
              <w:spacing w:after="20"/>
              <w:ind w:left="20"/>
              <w:jc w:val="both"/>
            </w:pPr>
            <w:r>
              <w:rPr>
                <w:rFonts w:ascii="Times New Roman"/>
                <w:b w:val="false"/>
                <w:i w:val="false"/>
                <w:color w:val="000000"/>
                <w:sz w:val="20"/>
              </w:rPr>
              <w:t>
Наличие на лестницах, ведущих на крышу вагонов, специального железнодорожного подвижного состава предупреждающих об опасности знаков.</w:t>
            </w:r>
          </w:p>
          <w:p>
            <w:pPr>
              <w:spacing w:after="20"/>
              <w:ind w:left="20"/>
              <w:jc w:val="both"/>
            </w:pPr>
            <w:r>
              <w:rPr>
                <w:rFonts w:ascii="Times New Roman"/>
                <w:b w:val="false"/>
                <w:i w:val="false"/>
                <w:color w:val="000000"/>
                <w:sz w:val="20"/>
              </w:rPr>
              <w:t>
Обеспечение блокировки лестниц для подъема на крышу локомотивов и моторных вагонов электропоездов в закрытом состоянии и открытий с помощью специального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острых ребер, кромок и углов на выступающих деталях конструкции и оборудования железнодорожного подвижного состава и его составных частей, способных травмировать обслуживающий персонал и пассажиров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w:t>
            </w:r>
          </w:p>
          <w:p>
            <w:pPr>
              <w:spacing w:after="20"/>
              <w:ind w:left="20"/>
              <w:jc w:val="both"/>
            </w:pPr>
            <w:r>
              <w:rPr>
                <w:rFonts w:ascii="Times New Roman"/>
                <w:b w:val="false"/>
                <w:i w:val="false"/>
                <w:color w:val="000000"/>
                <w:sz w:val="20"/>
              </w:rPr>
              <w:t>
Оборудование пассажирских вагонов огнезадерживаюшей перегородкой между купе проводников и пассажирским салоном при наличии купе проводников, а в купейных вагонах - и между купе. С разделением надпотолочного пространства в вагонах некупейного типа и над большим (основным) коридором вагона купейного типа не менее чем на 3 зоны путем установки огнезадерживающих фрамуг.</w:t>
            </w:r>
          </w:p>
          <w:p>
            <w:pPr>
              <w:spacing w:after="20"/>
              <w:ind w:left="20"/>
              <w:jc w:val="both"/>
            </w:pPr>
            <w:r>
              <w:rPr>
                <w:rFonts w:ascii="Times New Roman"/>
                <w:b w:val="false"/>
                <w:i w:val="false"/>
                <w:color w:val="000000"/>
                <w:sz w:val="20"/>
              </w:rPr>
              <w:t>
Отделение кабины машиниста локомотивов с кузовом вагонного типа, моторвагонного подвижного состава огнезадерживающей перегородкой от остальной части локомотива с кузовом вагонного типа или моторвагонного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и моторвагонном подвижном составе безопасного прохода обсуживающего персонала и пассажиров из вагона в вагон по переходным площадкам. С конструкцией переходных площадок закрытого типа, и исключением возможности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верхних спальных полок заградительными ремнями или бортиками, исключающими падение обслуживающего персонала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креслах и диванах пассажирских вагонов и моторвагонного подвижного состава прочных креплений к полу и конструкции, исключающих возможность их опрокидывания, в том числе при экстренном торможении. Обеспечение выполнения мест размещения и крепления личного багажа пассажиров и обслуживающего персонала с таким расчетом, чтобы не травмировать пассажиров и обслуживающий персонал при экстренном торможении и аварийной эвакуации.</w:t>
            </w:r>
          </w:p>
          <w:p>
            <w:pPr>
              <w:spacing w:after="20"/>
              <w:ind w:left="20"/>
              <w:jc w:val="both"/>
            </w:pPr>
            <w:r>
              <w:rPr>
                <w:rFonts w:ascii="Times New Roman"/>
                <w:b w:val="false"/>
                <w:i w:val="false"/>
                <w:color w:val="000000"/>
                <w:sz w:val="20"/>
              </w:rPr>
              <w:t>
Соответствие планировки пассажирских вагонов, вагонов моторвагонного подвижного состава и изотермических вагонов со служебными и вспомогательными помещениями, компоновки мест для пассажиров и обслуживающего персонала требованиям эргономики и системотехники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многосекционных локомотивов переходными площадками закрытого типа для обеспечения безопасного перехода локомотивной бригады из одной секции в другую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дизеля, электрических машин, вентиляторов, компрессоров и другого оборудования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локомотивах с кузовом капотного типа, боковых и торцевых площадок. Установкой на наружной стороне боковых и торцевых площадок поручней – барьеров с промежуточным ограждением и ограничительными планками по наружному периметру пола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локомотивов, моторвагонного подвижного состава, пассажирских и изотермических вагонов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железнодорожного подвижного состава, находящихся под напряжением, защиты от случайного доступа к ним обслуживающего персонала и пассажиров.</w:t>
            </w:r>
          </w:p>
          <w:p>
            <w:pPr>
              <w:spacing w:after="20"/>
              <w:ind w:left="20"/>
              <w:jc w:val="both"/>
            </w:pPr>
            <w:r>
              <w:rPr>
                <w:rFonts w:ascii="Times New Roman"/>
                <w:b w:val="false"/>
                <w:i w:val="false"/>
                <w:color w:val="000000"/>
                <w:sz w:val="20"/>
              </w:rPr>
              <w:t>
С заземлением на корпус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локомотивов, моторвагонного подвижного состава, пассажирских вагонов, специального железнодорожного подвижного состава и изотермических вагонов с автономной энергетической установкой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значений уровня электромагнитных помех, создаваемых железнодорожным подвижным составом и его составными частями,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требованию по взрывобезопасности аккумуляторного бокса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специального железнодорожного подвижного состава, пассажирских и изотермических вагонов системами пожарной сигнализации, установками пожаротушения, специальными местами для размещения огнетушителей, противопожарного инвентаря.</w:t>
            </w:r>
          </w:p>
          <w:p>
            <w:pPr>
              <w:spacing w:after="20"/>
              <w:ind w:left="20"/>
              <w:jc w:val="both"/>
            </w:pPr>
            <w:r>
              <w:rPr>
                <w:rFonts w:ascii="Times New Roman"/>
                <w:b w:val="false"/>
                <w:i w:val="false"/>
                <w:color w:val="000000"/>
                <w:sz w:val="20"/>
              </w:rPr>
              <w:t>
Обеспечения системой пожарной сигнализации выдачи акустической и оптической информации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а также обеспечением возможности периодической проверки их 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и изотермических вагонов с автономной энергетической установкой, дизель-поезда, дизель-электропоезда, рельсовых автобусов, специального самоходного железнодорожного подвижного состава искрогасителями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системой вентиляции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возможности попадания выхлопных газов и пыли в кабину машиниста, в помещения для обслуживающего персонала, а также в пассажирские салоны.</w:t>
            </w:r>
          </w:p>
          <w:p>
            <w:pPr>
              <w:spacing w:after="20"/>
              <w:ind w:left="20"/>
              <w:jc w:val="both"/>
            </w:pPr>
            <w:r>
              <w:rPr>
                <w:rFonts w:ascii="Times New Roman"/>
                <w:b w:val="false"/>
                <w:i w:val="false"/>
                <w:color w:val="000000"/>
                <w:sz w:val="20"/>
              </w:rPr>
              <w:t xml:space="preserve">
Исключение превышения допустимых значений характеристик состояния воздушной среды в машинном помещении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системы охлаждения дизелей тепловозов с кузовом вагонного типа и изотермических вагонов с автономной энергетической установкой возможностью дозаправки системы охлаждения без необходимости нахождения обслуживающего персонала на крыше тепловоза или изотермического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внутрипоездная телефонная связь;</w:t>
            </w:r>
          </w:p>
          <w:p>
            <w:pPr>
              <w:spacing w:after="20"/>
              <w:ind w:left="20"/>
              <w:jc w:val="both"/>
            </w:pPr>
            <w:r>
              <w:rPr>
                <w:rFonts w:ascii="Times New Roman"/>
                <w:b w:val="false"/>
                <w:i w:val="false"/>
                <w:color w:val="000000"/>
                <w:sz w:val="20"/>
              </w:rPr>
              <w:t>
5) система контроля нагрева букс;</w:t>
            </w:r>
          </w:p>
          <w:p>
            <w:pPr>
              <w:spacing w:after="20"/>
              <w:ind w:left="20"/>
              <w:jc w:val="both"/>
            </w:pPr>
            <w:r>
              <w:rPr>
                <w:rFonts w:ascii="Times New Roman"/>
                <w:b w:val="false"/>
                <w:i w:val="false"/>
                <w:color w:val="000000"/>
                <w:sz w:val="20"/>
              </w:rPr>
              <w:t>
6) поездное радиовещание;</w:t>
            </w:r>
          </w:p>
          <w:p>
            <w:pPr>
              <w:spacing w:after="20"/>
              <w:ind w:left="20"/>
              <w:jc w:val="both"/>
            </w:pPr>
            <w:r>
              <w:rPr>
                <w:rFonts w:ascii="Times New Roman"/>
                <w:b w:val="false"/>
                <w:i w:val="false"/>
                <w:color w:val="000000"/>
                <w:sz w:val="20"/>
              </w:rPr>
              <w:t>
7) искрогасители дымо - выхлопных труб при применении автономных систем отопления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скоростных пассажирских вагонов централизованным электроснабжением.</w:t>
            </w:r>
          </w:p>
          <w:p>
            <w:pPr>
              <w:spacing w:after="20"/>
              <w:ind w:left="20"/>
              <w:jc w:val="both"/>
            </w:pPr>
            <w:r>
              <w:rPr>
                <w:rFonts w:ascii="Times New Roman"/>
                <w:b w:val="false"/>
                <w:i w:val="false"/>
                <w:color w:val="000000"/>
                <w:sz w:val="20"/>
              </w:rPr>
              <w:t>
Оборудование скоростного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p>
            <w:pPr>
              <w:spacing w:after="20"/>
              <w:ind w:left="20"/>
              <w:jc w:val="both"/>
            </w:pPr>
            <w:r>
              <w:rPr>
                <w:rFonts w:ascii="Times New Roman"/>
                <w:b w:val="false"/>
                <w:i w:val="false"/>
                <w:color w:val="000000"/>
                <w:sz w:val="20"/>
              </w:rPr>
              <w:t>
Головные вагоны моторвагонного подвижного состава с экологически чистыми туалетными комплексами.</w:t>
            </w:r>
          </w:p>
          <w:p>
            <w:pPr>
              <w:spacing w:after="20"/>
              <w:ind w:left="20"/>
              <w:jc w:val="both"/>
            </w:pPr>
            <w:r>
              <w:rPr>
                <w:rFonts w:ascii="Times New Roman"/>
                <w:b w:val="false"/>
                <w:i w:val="false"/>
                <w:color w:val="000000"/>
                <w:sz w:val="20"/>
              </w:rPr>
              <w:t>
Изотермические вагоны со служебными и вспомогательными помещениями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(вентиляции, отопления, охлаждения);</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система контроля нагрева букс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вагонами, предназначенными для перевозки продовольственного сырья и пищевых продуктов,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обслуживаемых без проводников, расположенными непосредственно в пассажирском салоне устройствами для связи пассажиров с локомотивной или поездной бригадой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пассажирских вагонов и вагонов моторвагонного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пассажирских вагонов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Обеспечение аварийного открывания входных дверей пассажирских вагонов и вагонов моторвагонного подвижного состава по штатной схеме с их фиксацией в открытом положении. Обеспечение аварийного открывания входных дверей прислонного типа в ручном режиме при скорости движения поезда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 моторвагонного подвижного состава местами, предназначенными для проезда лиц с инвалидностью и пассажиров с детьми.</w:t>
            </w:r>
          </w:p>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предназначенных для проезда граждан, имеющих ограничения в подвижности, следующими устройствами:</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3) проходы увеличенной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визуальными и звуковыми сигнальными устройствами.</w:t>
            </w:r>
          </w:p>
          <w:p>
            <w:pPr>
              <w:spacing w:after="20"/>
              <w:ind w:left="20"/>
              <w:jc w:val="both"/>
            </w:pPr>
            <w:r>
              <w:rPr>
                <w:rFonts w:ascii="Times New Roman"/>
                <w:b w:val="false"/>
                <w:i w:val="false"/>
                <w:color w:val="000000"/>
                <w:sz w:val="20"/>
              </w:rPr>
              <w:t>
Оборудование лобовых частей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торцевых частей локомотивов с кузовом капотного типа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сигнальных фонарей также на задней торцевой стенке каждой из секций локомотива, которая может использоваться как самостоятельная единица.</w:t>
            </w:r>
          </w:p>
          <w:p>
            <w:pPr>
              <w:spacing w:after="20"/>
              <w:ind w:left="20"/>
              <w:jc w:val="both"/>
            </w:pPr>
            <w:r>
              <w:rPr>
                <w:rFonts w:ascii="Times New Roman"/>
                <w:b w:val="false"/>
                <w:i w:val="false"/>
                <w:color w:val="000000"/>
                <w:sz w:val="20"/>
              </w:rPr>
              <w:t>
Установка прожектора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замены лампы прожектора из кабины машиниста и регулировки направления светового луча.</w:t>
            </w:r>
          </w:p>
          <w:p>
            <w:pPr>
              <w:spacing w:after="20"/>
              <w:ind w:left="20"/>
              <w:jc w:val="both"/>
            </w:pPr>
            <w:r>
              <w:rPr>
                <w:rFonts w:ascii="Times New Roman"/>
                <w:b w:val="false"/>
                <w:i w:val="false"/>
                <w:color w:val="000000"/>
                <w:sz w:val="20"/>
              </w:rPr>
              <w:t>
Наличие на пассажирских вагонах трех сигнальных фонарей, установленных на обеих торцевых стенках вагонов.</w:t>
            </w:r>
          </w:p>
          <w:p>
            <w:pPr>
              <w:spacing w:after="20"/>
              <w:ind w:left="20"/>
              <w:jc w:val="both"/>
            </w:pPr>
            <w:r>
              <w:rPr>
                <w:rFonts w:ascii="Times New Roman"/>
                <w:b w:val="false"/>
                <w:i w:val="false"/>
                <w:color w:val="000000"/>
                <w:sz w:val="20"/>
              </w:rPr>
              <w:t>
Оборудование грузовых вагонов кронштейнами для установки знаков ограждения.</w:t>
            </w:r>
          </w:p>
          <w:p>
            <w:pPr>
              <w:spacing w:after="20"/>
              <w:ind w:left="20"/>
              <w:jc w:val="both"/>
            </w:pPr>
            <w:r>
              <w:rPr>
                <w:rFonts w:ascii="Times New Roman"/>
                <w:b w:val="false"/>
                <w:i w:val="false"/>
                <w:color w:val="000000"/>
                <w:sz w:val="20"/>
              </w:rPr>
              <w:t>
Оборудование локомотивов, моторвагонного подвижного состава и специального самоходного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локомотивов и моторвагонного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машинного (дизельное) помещения на тепловозах с кузовом вагонного типа, дизель-поездах, автомотрисах, рельсовых автобусах, дизель - электропоездах, изотермических вагонах с автономной энергетической установкой, специальном самоходном железнодорожном подвижном составе от кабины машиниста или помещений для обслуживающего персонала тамбуром. Обеспечение свободного прохода из тамбура в кабину машиниста или помещение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боковых дверей крытого грузового, изотермического, почтового и багажного вагонов, устройствами для ограничения перемещения двери при полном ее открывании. Оборудование крытых грузовых вагонов, имеющих боковые двери, несъемным оборудованием для установки нар, оконных рам, дверных закладок, ружейных зубчаток и печных комплектов.</w:t>
            </w:r>
          </w:p>
          <w:p>
            <w:pPr>
              <w:spacing w:after="20"/>
              <w:ind w:left="20"/>
              <w:jc w:val="both"/>
            </w:pPr>
            <w:r>
              <w:rPr>
                <w:rFonts w:ascii="Times New Roman"/>
                <w:b w:val="false"/>
                <w:i w:val="false"/>
                <w:color w:val="000000"/>
                <w:sz w:val="20"/>
              </w:rPr>
              <w:t>
Оборудование крытых грузовых вагонов, имеющих на крыше люки для загрузки сыпучих грузов, помостами на крыше вагона и лестницами для подъема на эти помосты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вагонов-цистерн по обеим сторонам снаружи котла лестницами с рифлеными ступеньками и поручнями. Оборудование в зависимости от назначения котлов и рам цистерн системами заземления соответствующей конструкции.</w:t>
            </w:r>
          </w:p>
          <w:p>
            <w:pPr>
              <w:spacing w:after="20"/>
              <w:ind w:left="20"/>
              <w:jc w:val="both"/>
            </w:pPr>
            <w:r>
              <w:rPr>
                <w:rFonts w:ascii="Times New Roman"/>
                <w:b w:val="false"/>
                <w:i w:val="false"/>
                <w:color w:val="000000"/>
                <w:sz w:val="20"/>
              </w:rPr>
              <w:t>
Оборудование котла вагона-цистерны нижним или верхним сливным устройством, сливо-наливной арматурой, предохранительными впускными-выпускными клапанами, другой необходимой арматурой, а также внутренней лестницей, а котлы для сжиженных газов - также предохранительными мембранами, и обеспечивать герметичность котлов.</w:t>
            </w:r>
          </w:p>
          <w:p>
            <w:pPr>
              <w:spacing w:after="20"/>
              <w:ind w:left="20"/>
              <w:jc w:val="both"/>
            </w:pPr>
            <w:r>
              <w:rPr>
                <w:rFonts w:ascii="Times New Roman"/>
                <w:b w:val="false"/>
                <w:i w:val="false"/>
                <w:color w:val="000000"/>
                <w:sz w:val="20"/>
              </w:rPr>
              <w:t>
Оборудование котлов специальных типов вагонов-цистерн запорной и запорно-регулирующей арматурой, с возможностью установки приборов контроля.</w:t>
            </w:r>
          </w:p>
          <w:p>
            <w:pPr>
              <w:spacing w:after="20"/>
              <w:ind w:left="20"/>
              <w:jc w:val="both"/>
            </w:pPr>
            <w:r>
              <w:rPr>
                <w:rFonts w:ascii="Times New Roman"/>
                <w:b w:val="false"/>
                <w:i w:val="false"/>
                <w:color w:val="000000"/>
                <w:sz w:val="20"/>
              </w:rPr>
              <w:t>
Оборудование котлов вагонов-цистерн предохранительными устройствами, предотвращающими при сходе вагона излом сливо-наливной арматуры и вытекание перевозимых жидкостей и газов из котла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с учетом степени риска причинения вреда, минимально необходимым требованиям к продукции высокоскоростного железнодорожного транспорта выполнение которых обеспечивает:</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гидрометеорологическую безопасность;</w:t>
            </w:r>
          </w:p>
          <w:p>
            <w:pPr>
              <w:spacing w:after="20"/>
              <w:ind w:left="20"/>
              <w:jc w:val="both"/>
            </w:pPr>
            <w:r>
              <w:rPr>
                <w:rFonts w:ascii="Times New Roman"/>
                <w:b w:val="false"/>
                <w:i w:val="false"/>
                <w:color w:val="000000"/>
                <w:sz w:val="20"/>
              </w:rPr>
              <w:t>
5) механическую безопасность;</w:t>
            </w:r>
          </w:p>
          <w:p>
            <w:pPr>
              <w:spacing w:after="20"/>
              <w:ind w:left="20"/>
              <w:jc w:val="both"/>
            </w:pPr>
            <w:r>
              <w:rPr>
                <w:rFonts w:ascii="Times New Roman"/>
                <w:b w:val="false"/>
                <w:i w:val="false"/>
                <w:color w:val="000000"/>
                <w:sz w:val="20"/>
              </w:rPr>
              <w:t>
6) пожарную безопасность;</w:t>
            </w:r>
          </w:p>
          <w:p>
            <w:pPr>
              <w:spacing w:after="20"/>
              <w:ind w:left="20"/>
              <w:jc w:val="both"/>
            </w:pPr>
            <w:r>
              <w:rPr>
                <w:rFonts w:ascii="Times New Roman"/>
                <w:b w:val="false"/>
                <w:i w:val="false"/>
                <w:color w:val="000000"/>
                <w:sz w:val="20"/>
              </w:rPr>
              <w:t>
7) промышленную безопасность;</w:t>
            </w:r>
          </w:p>
          <w:p>
            <w:pPr>
              <w:spacing w:after="20"/>
              <w:ind w:left="20"/>
              <w:jc w:val="both"/>
            </w:pPr>
            <w:r>
              <w:rPr>
                <w:rFonts w:ascii="Times New Roman"/>
                <w:b w:val="false"/>
                <w:i w:val="false"/>
                <w:color w:val="000000"/>
                <w:sz w:val="20"/>
              </w:rPr>
              <w:t>
8) термическую безопасность;</w:t>
            </w:r>
          </w:p>
          <w:p>
            <w:pPr>
              <w:spacing w:after="20"/>
              <w:ind w:left="20"/>
              <w:jc w:val="both"/>
            </w:pPr>
            <w:r>
              <w:rPr>
                <w:rFonts w:ascii="Times New Roman"/>
                <w:b w:val="false"/>
                <w:i w:val="false"/>
                <w:color w:val="000000"/>
                <w:sz w:val="20"/>
              </w:rPr>
              <w:t>
9) химическую безопасность;</w:t>
            </w:r>
          </w:p>
          <w:p>
            <w:pPr>
              <w:spacing w:after="20"/>
              <w:ind w:left="20"/>
              <w:jc w:val="both"/>
            </w:pPr>
            <w:r>
              <w:rPr>
                <w:rFonts w:ascii="Times New Roman"/>
                <w:b w:val="false"/>
                <w:i w:val="false"/>
                <w:color w:val="000000"/>
                <w:sz w:val="20"/>
              </w:rPr>
              <w:t>
10) электрическую безопасность;</w:t>
            </w:r>
          </w:p>
          <w:p>
            <w:pPr>
              <w:spacing w:after="20"/>
              <w:ind w:left="20"/>
              <w:jc w:val="both"/>
            </w:pPr>
            <w:r>
              <w:rPr>
                <w:rFonts w:ascii="Times New Roman"/>
                <w:b w:val="false"/>
                <w:i w:val="false"/>
                <w:color w:val="000000"/>
                <w:sz w:val="20"/>
              </w:rPr>
              <w:t>
11)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12) единство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оценке степени риска расчетным, экспериментальным и экспертным путем, в том числе по данным эксплуатации аналогичных объектов инфраструктуры высокоскоростного железнодорожного транспорта и продукции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объектов инфраструктуры высокоскоростного железнодорожного транспорта и продукции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объектов инфраструктуры высокоскоростного железнодорожного транспорта 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(включая изыскания), производстве, строительстве, монтаже, наладке и вводе в эксплуатацию объектов инфраструктуры высокоскоростного железнодорожного транспорта и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6) установления критериев предельных состояний;</w:t>
            </w:r>
          </w:p>
          <w:p>
            <w:pPr>
              <w:spacing w:after="20"/>
              <w:ind w:left="20"/>
              <w:jc w:val="both"/>
            </w:pPr>
            <w:r>
              <w:rPr>
                <w:rFonts w:ascii="Times New Roman"/>
                <w:b w:val="false"/>
                <w:i w:val="false"/>
                <w:color w:val="000000"/>
                <w:sz w:val="20"/>
              </w:rPr>
              <w:t>
7) соблюдения требований проектной документации с контролем посредством авторского надзора, осуществляемого проектировщиком;</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установления параметров опасных погодных явлений для высокоскоростного железнодорожного подвижного состава и организации инструментального мониторинга за возникновением этих опасных погодных явлений;</w:t>
            </w:r>
          </w:p>
          <w:p>
            <w:pPr>
              <w:spacing w:after="20"/>
              <w:ind w:left="20"/>
              <w:jc w:val="both"/>
            </w:pPr>
            <w:r>
              <w:rPr>
                <w:rFonts w:ascii="Times New Roman"/>
                <w:b w:val="false"/>
                <w:i w:val="false"/>
                <w:color w:val="000000"/>
                <w:sz w:val="20"/>
              </w:rPr>
              <w:t>
10) проведения оценки соответствия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высокоскоростного железнодорожного транспорта и продукции требованиям по прочности, устойчивости и техническому состоянию при безопасности движения высокоскоростного железнодорожного подвижного состава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объектами инфраструктуры высокоскоростного железнодорожного транспорта и продукции следующего:</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соблюдение габарита приближения строений;</w:t>
            </w:r>
          </w:p>
          <w:p>
            <w:pPr>
              <w:spacing w:after="20"/>
              <w:ind w:left="20"/>
              <w:jc w:val="both"/>
            </w:pPr>
            <w:r>
              <w:rPr>
                <w:rFonts w:ascii="Times New Roman"/>
                <w:b w:val="false"/>
                <w:i w:val="false"/>
                <w:color w:val="000000"/>
                <w:sz w:val="20"/>
              </w:rPr>
              <w:t>
3) выполнение условий эксплуатации с учетом внешних климатических, геофизических и механических воздействий;</w:t>
            </w:r>
          </w:p>
          <w:p>
            <w:pPr>
              <w:spacing w:after="20"/>
              <w:ind w:left="20"/>
              <w:jc w:val="both"/>
            </w:pPr>
            <w:r>
              <w:rPr>
                <w:rFonts w:ascii="Times New Roman"/>
                <w:b w:val="false"/>
                <w:i w:val="false"/>
                <w:color w:val="000000"/>
                <w:sz w:val="20"/>
              </w:rPr>
              <w:t>
4)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5) устойчивость от схода колеса с рельса;</w:t>
            </w:r>
          </w:p>
          <w:p>
            <w:pPr>
              <w:spacing w:after="20"/>
              <w:ind w:left="20"/>
              <w:jc w:val="both"/>
            </w:pPr>
            <w:r>
              <w:rPr>
                <w:rFonts w:ascii="Times New Roman"/>
                <w:b w:val="false"/>
                <w:i w:val="false"/>
                <w:color w:val="000000"/>
                <w:sz w:val="20"/>
              </w:rPr>
              <w:t>
6) устойчивость высокоскоростного железнодорожного подвижного состава от опрокидывания в криволинейных участках пути;</w:t>
            </w:r>
          </w:p>
          <w:p>
            <w:pPr>
              <w:spacing w:after="20"/>
              <w:ind w:left="20"/>
              <w:jc w:val="both"/>
            </w:pPr>
            <w:r>
              <w:rPr>
                <w:rFonts w:ascii="Times New Roman"/>
                <w:b w:val="false"/>
                <w:i w:val="false"/>
                <w:color w:val="000000"/>
                <w:sz w:val="20"/>
              </w:rPr>
              <w:t>
7) предотвращение самопроизвольного ухода с места стоянки;</w:t>
            </w:r>
          </w:p>
          <w:p>
            <w:pPr>
              <w:spacing w:after="20"/>
              <w:ind w:left="20"/>
              <w:jc w:val="both"/>
            </w:pPr>
            <w:r>
              <w:rPr>
                <w:rFonts w:ascii="Times New Roman"/>
                <w:b w:val="false"/>
                <w:i w:val="false"/>
                <w:color w:val="000000"/>
                <w:sz w:val="20"/>
              </w:rPr>
              <w:t>
8) сцепление высокоскоростного железнодорожного подвижного состава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9) допускаемый тормозной путь;</w:t>
            </w:r>
          </w:p>
          <w:p>
            <w:pPr>
              <w:spacing w:after="20"/>
              <w:ind w:left="20"/>
              <w:jc w:val="both"/>
            </w:pPr>
            <w:r>
              <w:rPr>
                <w:rFonts w:ascii="Times New Roman"/>
                <w:b w:val="false"/>
                <w:i w:val="false"/>
                <w:color w:val="000000"/>
                <w:sz w:val="20"/>
              </w:rPr>
              <w:t>
10)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11) предотвращение падения составных частей высокоскоростного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12)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13) санитарно-эпидемиологическую, экологическую и гидрометеорологическую безопасность;</w:t>
            </w:r>
          </w:p>
          <w:p>
            <w:pPr>
              <w:spacing w:after="20"/>
              <w:ind w:left="20"/>
              <w:jc w:val="both"/>
            </w:pPr>
            <w:r>
              <w:rPr>
                <w:rFonts w:ascii="Times New Roman"/>
                <w:b w:val="false"/>
                <w:i w:val="false"/>
                <w:color w:val="000000"/>
                <w:sz w:val="20"/>
              </w:rPr>
              <w:t>
14)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15)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pPr>
              <w:spacing w:after="20"/>
              <w:ind w:left="20"/>
              <w:jc w:val="both"/>
            </w:pPr>
            <w:r>
              <w:rPr>
                <w:rFonts w:ascii="Times New Roman"/>
                <w:b w:val="false"/>
                <w:i w:val="false"/>
                <w:color w:val="000000"/>
                <w:sz w:val="20"/>
              </w:rPr>
              <w:t>
16) выполнение требований пожарной безопасности;</w:t>
            </w:r>
          </w:p>
          <w:p>
            <w:pPr>
              <w:spacing w:after="20"/>
              <w:ind w:left="20"/>
              <w:jc w:val="both"/>
            </w:pPr>
            <w:r>
              <w:rPr>
                <w:rFonts w:ascii="Times New Roman"/>
                <w:b w:val="false"/>
                <w:i w:val="false"/>
                <w:color w:val="000000"/>
                <w:sz w:val="20"/>
              </w:rPr>
              <w:t>
17) прочность при допустимых режимах нагружения и воздействиях;</w:t>
            </w:r>
          </w:p>
          <w:p>
            <w:pPr>
              <w:spacing w:after="20"/>
              <w:ind w:left="20"/>
              <w:jc w:val="both"/>
            </w:pPr>
            <w:r>
              <w:rPr>
                <w:rFonts w:ascii="Times New Roman"/>
                <w:b w:val="false"/>
                <w:i w:val="false"/>
                <w:color w:val="000000"/>
                <w:sz w:val="20"/>
              </w:rPr>
              <w:t>
18)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19)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20)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21) отсутствие касаний составных частей высокоскоростного железнодорожного подвижного состава между собой и с элементами инфраструктуры высокоскоростного железнодорожного транспорта, не предусмотренного конструкторской документацией;</w:t>
            </w:r>
          </w:p>
          <w:p>
            <w:pPr>
              <w:spacing w:after="20"/>
              <w:ind w:left="20"/>
              <w:jc w:val="both"/>
            </w:pPr>
            <w:r>
              <w:rPr>
                <w:rFonts w:ascii="Times New Roman"/>
                <w:b w:val="false"/>
                <w:i w:val="false"/>
                <w:color w:val="000000"/>
                <w:sz w:val="20"/>
              </w:rPr>
              <w:t>
22) сцепление высокоскоростного железнодорожного подвижного состава в криволинейных участках железнодорожного пути;</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выбору решения при проектировании объектов инфраструктуры высокоскоростного железнодорожного транспорта и продукции, обеспечивающего допустимый уровень вредных и опасных воздействий на жизнь и здоровье человека, животных и растений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конструкций объектов инфраструктуры высокоскоростного железнодорожного транспорта и продукции безопасности в течение назначенного срока службы и ресурса, назначенного срока хранения, а также выдерживания воздействия и нагрузки, которым они подвергаются в процессе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высокоскоростного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объектов инфраструктуры высокоскоростного железнодорожного транспорта и продукции, при необходимости, программных средства, обеспечивающих безопасность функционирования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при проектировании требований безопасности при внесении изменений в проектную документацию строительства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подтверждения соответствия при внесении изменений в конструкцию или технологию изготовления продукции инфраструктуры высокоскоростного железнодорожного транспорта, влияющих на безопасность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наименование изделия и (или) обозначение серии или типа, номер;</w:t>
            </w:r>
          </w:p>
          <w:p>
            <w:pPr>
              <w:spacing w:after="20"/>
              <w:ind w:left="20"/>
              <w:jc w:val="both"/>
            </w:pPr>
            <w:r>
              <w:rPr>
                <w:rFonts w:ascii="Times New Roman"/>
                <w:b w:val="false"/>
                <w:i w:val="false"/>
                <w:color w:val="000000"/>
                <w:sz w:val="20"/>
              </w:rPr>
              <w:t>
4) дата изготовления;</w:t>
            </w:r>
          </w:p>
          <w:p>
            <w:pPr>
              <w:spacing w:after="20"/>
              <w:ind w:left="20"/>
              <w:jc w:val="both"/>
            </w:pPr>
            <w:r>
              <w:rPr>
                <w:rFonts w:ascii="Times New Roman"/>
                <w:b w:val="false"/>
                <w:i w:val="false"/>
                <w:color w:val="000000"/>
                <w:sz w:val="20"/>
              </w:rPr>
              <w:t>
5) масса тары;</w:t>
            </w:r>
          </w:p>
          <w:p>
            <w:pPr>
              <w:spacing w:after="20"/>
              <w:ind w:left="20"/>
              <w:jc w:val="both"/>
            </w:pPr>
            <w:r>
              <w:rPr>
                <w:rFonts w:ascii="Times New Roman"/>
                <w:b w:val="false"/>
                <w:i w:val="false"/>
                <w:color w:val="000000"/>
                <w:sz w:val="20"/>
              </w:rPr>
              <w:t>
6) конструкционная скорость;</w:t>
            </w:r>
          </w:p>
          <w:p>
            <w:pPr>
              <w:spacing w:after="20"/>
              <w:ind w:left="20"/>
              <w:jc w:val="both"/>
            </w:pPr>
            <w:r>
              <w:rPr>
                <w:rFonts w:ascii="Times New Roman"/>
                <w:b w:val="false"/>
                <w:i w:val="false"/>
                <w:color w:val="000000"/>
                <w:sz w:val="20"/>
              </w:rPr>
              <w:t>
7) табличка или надпись о проведенных ремонтах;</w:t>
            </w:r>
          </w:p>
          <w:p>
            <w:pPr>
              <w:spacing w:after="20"/>
              <w:ind w:left="20"/>
              <w:jc w:val="both"/>
            </w:pPr>
            <w:r>
              <w:rPr>
                <w:rFonts w:ascii="Times New Roman"/>
                <w:b w:val="false"/>
                <w:i w:val="false"/>
                <w:color w:val="000000"/>
                <w:sz w:val="20"/>
              </w:rPr>
              <w:t>
8) число мест для пассажиров (для высокоскоростного железнодорожного подвижного состава, предназначенного для перевозки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элементах составных частей подсистем инфраструктуры высокоскоростного железнодорожного транспорта в соответствии с конструкторской документацией, обеспечивающую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обеспечивающей идентификацию продукции независимо от года ее выпуска в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элементов составных частей подсистем инфраструктуры высокоскоростного железнодорожного транспорта в соответствии с конструкторской документацией,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маркировки и клейма на колесных парах высокоскоростного железнодорожного подвижного состава в соответствии с конструкторской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и вагонов высокоскоростного железнодорожного подвижного состава в соответствии с конструкторской документацией, содержащее следующее:</w:t>
            </w:r>
          </w:p>
          <w:p>
            <w:pPr>
              <w:spacing w:after="20"/>
              <w:ind w:left="20"/>
              <w:jc w:val="both"/>
            </w:pPr>
            <w:r>
              <w:rPr>
                <w:rFonts w:ascii="Times New Roman"/>
                <w:b w:val="false"/>
                <w:i w:val="false"/>
                <w:color w:val="000000"/>
                <w:sz w:val="20"/>
              </w:rPr>
              <w:t>
1) знак обращения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на государственном языке государства - члена Евразийского экономического союза, в котором изготовлена продукция,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превышения значений уровня электромагнитных помех, создаваемых высокоскоростным железнодорожным подвижным составом,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на ней высокоскоростного железнодорожного подвижного состава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продукции высокоскоростного железнодорожного транспорта порядка утилизации опасных элементов составных частей подсистем с целью предотвращения их использования после прекращения их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эксплуатационной и ремонтной документации объектов инфраструктуры высокоскоростного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расположению и монтажа его оборудования, обеспечивающего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высокоскоростного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средствами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высокоскоростного железнодорожного подвижного состава, как встраиваемыми, так и поставляемыми на материальных носителях, включающих следующее:</w:t>
            </w:r>
          </w:p>
          <w:p>
            <w:pPr>
              <w:spacing w:after="20"/>
              <w:ind w:left="20"/>
              <w:jc w:val="both"/>
            </w:pPr>
            <w:r>
              <w:rPr>
                <w:rFonts w:ascii="Times New Roman"/>
                <w:b w:val="false"/>
                <w:i w:val="false"/>
                <w:color w:val="000000"/>
                <w:sz w:val="20"/>
              </w:rPr>
              <w:t>
1) работоспособность после перезагрузок, вызванных сбоями 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программного обеспечения версии, указанной в декларации о соответствии программного обеспечения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системы управления, контроля и безопасности высокоскоростного железнодорожного подвижного состава в работе тягового привода и оборудования при неисправностях аппаратов электрической, гидравлической и пневматической частей, сбоя программного обеспечения исключающей изменений характеристик и режимов работы, которые приводят к нарушению безопасного состояния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высокоскоростным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головном вагоне высокоскоростного железнодорожного подвижного состава аппаратуры спутниковой навигации, способствующей обеспечению безопасности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бортовых устройств безопасности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прием сигналов о поездной ситуации от системы диспетчерской централизации и диспетчерского контроля, систем сигнализации, централизации и блокировки на станциях и перегонах, а также от бортовых устройств безопасности другого высокоскоростного железнодорожного подвижного состава;</w:t>
            </w:r>
          </w:p>
          <w:p>
            <w:pPr>
              <w:spacing w:after="20"/>
              <w:ind w:left="20"/>
              <w:jc w:val="both"/>
            </w:pPr>
            <w:r>
              <w:rPr>
                <w:rFonts w:ascii="Times New Roman"/>
                <w:b w:val="false"/>
                <w:i w:val="false"/>
                <w:color w:val="000000"/>
                <w:sz w:val="20"/>
              </w:rPr>
              <w:t>
2) определение параметров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3) регистрацию информации о движении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4) диагностику систем и устройств высокоскоростного железнодорожного подвижного состава, включая самодиагностику;</w:t>
            </w:r>
          </w:p>
          <w:p>
            <w:pPr>
              <w:spacing w:after="20"/>
              <w:ind w:left="20"/>
              <w:jc w:val="both"/>
            </w:pPr>
            <w:r>
              <w:rPr>
                <w:rFonts w:ascii="Times New Roman"/>
                <w:b w:val="false"/>
                <w:i w:val="false"/>
                <w:color w:val="000000"/>
                <w:sz w:val="20"/>
              </w:rPr>
              <w:t>
5) управление электропневматическим торможением;</w:t>
            </w:r>
          </w:p>
          <w:p>
            <w:pPr>
              <w:spacing w:after="20"/>
              <w:ind w:left="20"/>
              <w:jc w:val="both"/>
            </w:pPr>
            <w:r>
              <w:rPr>
                <w:rFonts w:ascii="Times New Roman"/>
                <w:b w:val="false"/>
                <w:i w:val="false"/>
                <w:color w:val="000000"/>
                <w:sz w:val="20"/>
              </w:rPr>
              <w:t>
6) контроль самопроизвольного ухода высокоскоростного железнодорожного подвижного состава;</w:t>
            </w:r>
          </w:p>
          <w:p>
            <w:pPr>
              <w:spacing w:after="20"/>
              <w:ind w:left="20"/>
              <w:jc w:val="both"/>
            </w:pPr>
            <w:r>
              <w:rPr>
                <w:rFonts w:ascii="Times New Roman"/>
                <w:b w:val="false"/>
                <w:i w:val="false"/>
                <w:color w:val="000000"/>
                <w:sz w:val="20"/>
              </w:rPr>
              <w:t>
7) периодическую проверку бдительности машиниста;</w:t>
            </w:r>
          </w:p>
          <w:p>
            <w:pPr>
              <w:spacing w:after="20"/>
              <w:ind w:left="20"/>
              <w:jc w:val="both"/>
            </w:pPr>
            <w:r>
              <w:rPr>
                <w:rFonts w:ascii="Times New Roman"/>
                <w:b w:val="false"/>
                <w:i w:val="false"/>
                <w:color w:val="000000"/>
                <w:sz w:val="20"/>
              </w:rPr>
              <w:t>
8) осуществление информационного обмена по общему каналу передачи данных высокоскоростного железнодорожного подвижного состава, а также с использованием средств связи, которыми оборудован высокоскоростной железнодорожный подвижной состав;</w:t>
            </w:r>
          </w:p>
          <w:p>
            <w:pPr>
              <w:spacing w:after="20"/>
              <w:ind w:left="20"/>
              <w:jc w:val="both"/>
            </w:pPr>
            <w:r>
              <w:rPr>
                <w:rFonts w:ascii="Times New Roman"/>
                <w:b w:val="false"/>
                <w:i w:val="false"/>
                <w:color w:val="000000"/>
                <w:sz w:val="20"/>
              </w:rPr>
              <w:t>
9) машиниста информацией;</w:t>
            </w:r>
          </w:p>
          <w:p>
            <w:pPr>
              <w:spacing w:after="20"/>
              <w:ind w:left="20"/>
              <w:jc w:val="both"/>
            </w:pPr>
            <w:r>
              <w:rPr>
                <w:rFonts w:ascii="Times New Roman"/>
                <w:b w:val="false"/>
                <w:i w:val="false"/>
                <w:color w:val="000000"/>
                <w:sz w:val="20"/>
              </w:rPr>
              <w:t>
10) автоматическую остановку высокоскоростного железнодорожного подвижного состава при потери машинистом способности управления высокоскоростным железнодорожным подвижным составом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кабины машиниста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ветровых стекол кабины машиниста высокоскоростного железнодорожного подвижного состава надежному закреплению в окнах и уплотнению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планировки кабины машиниста высокоскоростного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нижеследующим требованиям эргономики и системотехники:</w:t>
            </w:r>
          </w:p>
          <w:p>
            <w:pPr>
              <w:spacing w:after="20"/>
              <w:ind w:left="20"/>
              <w:jc w:val="both"/>
            </w:pPr>
            <w:r>
              <w:rPr>
                <w:rFonts w:ascii="Times New Roman"/>
                <w:b w:val="false"/>
                <w:i w:val="false"/>
                <w:color w:val="000000"/>
                <w:sz w:val="20"/>
              </w:rPr>
              <w:t>
1) при проектировании пульта управления и рабочего места машиниста и его помощника учитываются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2) конструкция и расположение приборов и устройств управления, измерительных приборов, световых индикаторов на пульте управления обеспечивают видимость показаний указанных приборов и индикаторов в дневное и ночное время при отсутствии бликов от прямого или отраженного света;</w:t>
            </w:r>
          </w:p>
          <w:p>
            <w:pPr>
              <w:spacing w:after="20"/>
              <w:ind w:left="20"/>
              <w:jc w:val="both"/>
            </w:pPr>
            <w:r>
              <w:rPr>
                <w:rFonts w:ascii="Times New Roman"/>
                <w:b w:val="false"/>
                <w:i w:val="false"/>
                <w:color w:val="000000"/>
                <w:sz w:val="20"/>
              </w:rPr>
              <w:t>
параметры освещенности в кабине машиниста, яркость шкал измерительных приборов соответствовать пределам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оборудования систем общего, местного и аварийного освещения с автоматическим и ручным переключателем на автономный источник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высокоскоростного железнодорожного подвижного через боковые окна с использованием вспомогательных приспособлений и аварийных выходов с каждой стороны вагона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остекления внутренних помещений высокоскоростного железнодорожного подвижного состава, предназначенных для обслуживающего персонала и пассажиров, при ударных воздействиях на высокоскоростной железнодорожный подвижной состав во время его стоянки и в пути следования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освещения во внутренней части высокоскоростного железнодорожного подвижного состава, требующие осмотра, настройки и технического обслуживания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автоматического тормоза, обеспечивающего при торможении его замедление и остановку в пределах расчетного тормозного пути соответствующего необходимой функциональности и надежности в различных условиях эксплуатации, плавности торможения, остановку высокоскоростного железнодорожного подвижного состава при нарушении целостности тормозной магистрали и при несанкционированном расцеплении единиц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тормозов с возможностью применения различных режимов торможения в зависимости от длины высокоскоростного железнодорожного подвижного состава и профиля железнодорожного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опломбированных стоп-кранов со звуковым и визуальным информированием об активации и возможностью блокировки из кабины машиниста в высокоскоростном железнодорожном подвижном составе, установленных внутри пассажирских вагонов, с исключением возможности его отключения пассажирами при активации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автоматических стояночных тормозов, стояночных тормозов с функцией расчетного тормозного нажатия и удержания единицы высокоскоростного железнодорожного подвижного состава в пределах допустимых значений, с устройством, исключающим самопроизвольное вращение штурвала ручного стояночного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выдерживающих вес защищаемого ими оборудования в пределах допустимых значений составных частей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главных воздушных резервуаров и аккумуляторных батареи высокоскоростного железнодорожного подвижного состава вне кабины машиниста, пассажирских салонов и помещений для обслуживающего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высокоскоростного железнодорожного подвижного состава (при наличии) с работой пневматических и электропневматических тормозов при осуществлении служебного и экстренного торможения с функцией автоматического замещения пневматическим тормозом при отказе электродинамического тормоза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сцепного устройства, исключающего самопроизвольное разъединение единиц железнодорожного подвижного состава и обеспечивающего его эвакуацию в экстренных случаях с энергопоглощающим аппаратом в составе автосцепного устройства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статической прочности и необходимого коэффициента сопротивления усталости, колеса, осей и бандажа колесных пар высокоскоростного железнодорожного подвижного состава, обеспечивающее стойкость к образованию и развитию дефектов (трещин) в течение указанного в конструкторской документации срока их полного освидетельствования, обеспечивающую механическую безопасность в течение назначенного срока службы (механические свойства, ударная вязкость и остаточное напряженное состояние колес, осей и бандажей)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материалов и веществ, применяемых при проектировании и производстве высокоскоростного железнодорожного подвижного состава и его составных частей, для людей и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мест, кабин машинистов, внутренних помещений высокоскоростного железнодорожного подвижного состава допустимым значениям показателей микроклимата, уровня шума, инфразвука, вибрации, ультразвука, электромагнитного излучения, освещения, состава воздушной среды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опасного воздействия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подножек и поручней высокоскоростного железнодорожного подвижного состава, с препятствием скольжения поверхностей ступенек, площадок, подножек и настилов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высокоскоростного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высокоскоростного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острых ребер, кромок и углов на выступающих деталях конструкции и оборудования высокоскоростного железнодорожного подвижного состава и его составных частей, способных травмировать обслуживающий персонал и пассажиров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вагонов высокоскоростного железнодорожного подвижного состава, кабин машиниста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огнезадерживающей перегородки между купе проводников и пассажирским салоном с надпотолочным пространством в вагонах некупейного типа и над большим (основным) коридором вагона купейного типа которое разделено не менее чем на 3 зоны путем установки огнезадерживающих фрамуг, с отделением кабины машиниста огнезадерживающей перегородкой от остальной части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безопасного прохода обсуживающего персонала и пассажиров из вагона в вагон по переходным площадкам, в соответствии следующему:</w:t>
            </w:r>
          </w:p>
          <w:p>
            <w:pPr>
              <w:spacing w:after="20"/>
              <w:ind w:left="20"/>
              <w:jc w:val="both"/>
            </w:pPr>
            <w:r>
              <w:rPr>
                <w:rFonts w:ascii="Times New Roman"/>
                <w:b w:val="false"/>
                <w:i w:val="false"/>
                <w:color w:val="000000"/>
                <w:sz w:val="20"/>
              </w:rPr>
              <w:t>
1) конструкция переходных площадок с закрытым типом, исключающим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элементами инфраструктуры высокоскоростного железнодорожного транспорта, такими, как контактная сеть, верхнее строение пути;</w:t>
            </w:r>
          </w:p>
          <w:p>
            <w:pPr>
              <w:spacing w:after="20"/>
              <w:ind w:left="20"/>
              <w:jc w:val="both"/>
            </w:pPr>
            <w:r>
              <w:rPr>
                <w:rFonts w:ascii="Times New Roman"/>
                <w:b w:val="false"/>
                <w:i w:val="false"/>
                <w:color w:val="000000"/>
                <w:sz w:val="20"/>
              </w:rPr>
              <w:t>
2)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pPr>
              <w:spacing w:after="20"/>
              <w:ind w:left="20"/>
              <w:jc w:val="both"/>
            </w:pPr>
            <w:r>
              <w:rPr>
                <w:rFonts w:ascii="Times New Roman"/>
                <w:b w:val="false"/>
                <w:i w:val="false"/>
                <w:color w:val="000000"/>
                <w:sz w:val="20"/>
              </w:rPr>
              <w:t>
Соответствие мест размещения и крепления личного багажа, креплений и размещения кресел и диванов нижеследующему:</w:t>
            </w:r>
          </w:p>
          <w:p>
            <w:pPr>
              <w:spacing w:after="20"/>
              <w:ind w:left="20"/>
              <w:jc w:val="both"/>
            </w:pPr>
            <w:r>
              <w:rPr>
                <w:rFonts w:ascii="Times New Roman"/>
                <w:b w:val="false"/>
                <w:i w:val="false"/>
                <w:color w:val="000000"/>
                <w:sz w:val="20"/>
              </w:rPr>
              <w:t>
1) кресла и диваны высокоскоростного железнодорожного подвижного состава с прочным креплением к полу и конструкции, исключающую возможность их опрокидывания, в том числе при экстренном торможении.</w:t>
            </w:r>
          </w:p>
          <w:p>
            <w:pPr>
              <w:spacing w:after="20"/>
              <w:ind w:left="20"/>
              <w:jc w:val="both"/>
            </w:pPr>
            <w:r>
              <w:rPr>
                <w:rFonts w:ascii="Times New Roman"/>
                <w:b w:val="false"/>
                <w:i w:val="false"/>
                <w:color w:val="000000"/>
                <w:sz w:val="20"/>
              </w:rPr>
              <w:t>
2) места размещения и крепления личного багажа пассажиров и обслуживающего персонала с расчетом, чтобы не травмировать пассажиров и обслуживающий персонал при экстренном торможении и (или) аварийной эвакуации.</w:t>
            </w:r>
          </w:p>
          <w:p>
            <w:pPr>
              <w:spacing w:after="20"/>
              <w:ind w:left="20"/>
              <w:jc w:val="both"/>
            </w:pPr>
            <w:r>
              <w:rPr>
                <w:rFonts w:ascii="Times New Roman"/>
                <w:b w:val="false"/>
                <w:i w:val="false"/>
                <w:color w:val="000000"/>
                <w:sz w:val="20"/>
              </w:rPr>
              <w:t>
3) планировка вагонов высокоскоростного железнодорожного подвижного состава, компоновка мест для пассажиров и обслуживающего персонала соответствующая эргономики и системотехники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электрических машин, вентиляторов, компрессоров и другого оборудования высокоскоростного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высокоскоростного железнодорожного подвижного состава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высокоскоростного железнодорожного подвижного состава, находящиеся под напряжением, защиты от случайного доступа к ним обслуживающего персонала и пассажиров. с заземлением на корпус высокоскоростного железнодорожного подвижного состава.</w:t>
            </w:r>
          </w:p>
          <w:p>
            <w:pPr>
              <w:spacing w:after="20"/>
              <w:ind w:left="20"/>
              <w:jc w:val="both"/>
            </w:pPr>
            <w:r>
              <w:rPr>
                <w:rFonts w:ascii="Times New Roman"/>
                <w:b w:val="false"/>
                <w:i w:val="false"/>
                <w:color w:val="000000"/>
                <w:sz w:val="20"/>
              </w:rPr>
              <w:t>
С заземлением на корпус высокоскоростного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специального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избыточного давления и разряжения головной воздушной волны, возникающей при движении высокоскоростного железнодорожного подвижного состава, исключению опасного влияния на пассажиров, находящихся на пассажирских платформах или в непосредственной близости от железнодорожного пути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требованию по взрывобезопасности аккумуляторного бокса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системы пожарной сигнализации, установки пожаротушения, специальных мест для размещения огнетушителей, противопожарного инвентаря.</w:t>
            </w:r>
          </w:p>
          <w:p>
            <w:pPr>
              <w:spacing w:after="20"/>
              <w:ind w:left="20"/>
              <w:jc w:val="both"/>
            </w:pPr>
            <w:r>
              <w:rPr>
                <w:rFonts w:ascii="Times New Roman"/>
                <w:b w:val="false"/>
                <w:i w:val="false"/>
                <w:color w:val="000000"/>
                <w:sz w:val="20"/>
              </w:rPr>
              <w:t>
Системы пожарной сигнализации с акустической и оптической информацией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и обеспечением возможности периодической проверки их исправности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расположенных непосредственно в пассажирском салоне устройств для связи пассажиров с локомотивной или поездной бригадой.</w:t>
            </w:r>
          </w:p>
          <w:p>
            <w:pPr>
              <w:spacing w:after="20"/>
              <w:ind w:left="20"/>
              <w:jc w:val="both"/>
            </w:pPr>
            <w:r>
              <w:rPr>
                <w:rFonts w:ascii="Times New Roman"/>
                <w:b w:val="false"/>
                <w:i w:val="false"/>
                <w:color w:val="000000"/>
                <w:sz w:val="20"/>
              </w:rPr>
              <w:t>
Оборудование входных дверей вагонов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поезда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вагонов высокоскоростного железнодорожного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xml:space="preserve">
Обеспечение аварийного открывания входных дверей высокоскоростного железнодорожного подвижного состава по штатной схеме с их фиксацией в открытом положении. </w:t>
            </w:r>
          </w:p>
          <w:p>
            <w:pPr>
              <w:spacing w:after="20"/>
              <w:ind w:left="20"/>
              <w:jc w:val="both"/>
            </w:pPr>
            <w:r>
              <w:rPr>
                <w:rFonts w:ascii="Times New Roman"/>
                <w:b w:val="false"/>
                <w:i w:val="false"/>
                <w:color w:val="000000"/>
                <w:sz w:val="20"/>
              </w:rPr>
              <w:t xml:space="preserve">
Обеспечение аварийного открывания входных дверей прислонного типа в ручном режиме при скорости движения высокоскоростного железнодорожного подвижного состава в пределах допустимых значений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мест, предназначенных для проезда лиц с инвалидностью и пассажиров с детьми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предназначенных для проезда граждан, имеющих ограничения в подвижности, следующих устройств:</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в) проходы увеличенной ширины.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визуальных и звуковых сигнальных устройств.</w:t>
            </w:r>
          </w:p>
          <w:p>
            <w:pPr>
              <w:spacing w:after="20"/>
              <w:ind w:left="20"/>
              <w:jc w:val="both"/>
            </w:pPr>
            <w:r>
              <w:rPr>
                <w:rFonts w:ascii="Times New Roman"/>
                <w:b w:val="false"/>
                <w:i w:val="false"/>
                <w:color w:val="000000"/>
                <w:sz w:val="20"/>
              </w:rPr>
              <w:t>
Оборудование лобовых частей головных вагонов высокоскоростного железнодорожного подвижного состава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прожектора по продольной оси симметрии головного вагона высокоскоростного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резервирования работы прожектора во время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Оборудование высокоскоростного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высокоскоростного железнодорожного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токоприемника высокоскоростного железнодорожного подвижного состава устройству аварийного опускания токоприемника при наезде на препятствие, расположенной ниже поверхности трения контактного 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высокоскоростного железнодорожного подвижного состава обеспечивает: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высокоскоростного железнодорожного подвижного состава, а также оповещения работников, выполняющих работы на железнодорожных путях, о приближении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pPr>
              <w:spacing w:after="20"/>
              <w:ind w:left="20"/>
              <w:jc w:val="both"/>
            </w:pPr>
            <w:r>
              <w:rPr>
                <w:rFonts w:ascii="Times New Roman"/>
                <w:b w:val="false"/>
                <w:i w:val="false"/>
                <w:color w:val="000000"/>
                <w:sz w:val="20"/>
              </w:rPr>
              <w:t>
контроль положения высокоскоростного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высокоскоростного железнодорожного подвижного состава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высокоскоростным железнодорожным подвижным составом;</w:t>
            </w:r>
          </w:p>
          <w:p>
            <w:pPr>
              <w:spacing w:after="20"/>
              <w:ind w:left="20"/>
              <w:jc w:val="both"/>
            </w:pPr>
            <w:r>
              <w:rPr>
                <w:rFonts w:ascii="Times New Roman"/>
                <w:b w:val="false"/>
                <w:i w:val="false"/>
                <w:color w:val="000000"/>
                <w:sz w:val="20"/>
              </w:rPr>
              <w:t>
4)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5) железнодорожная автоматика и телемеханика совместимостью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6)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 учетом степени риска причинения вреда, минимально необходимого требования продукции инфраструктуры железнодорожного транспорта нижеследующему: </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механическую безопасность;</w:t>
            </w:r>
          </w:p>
          <w:p>
            <w:pPr>
              <w:spacing w:after="20"/>
              <w:ind w:left="20"/>
              <w:jc w:val="both"/>
            </w:pPr>
            <w:r>
              <w:rPr>
                <w:rFonts w:ascii="Times New Roman"/>
                <w:b w:val="false"/>
                <w:i w:val="false"/>
                <w:color w:val="000000"/>
                <w:sz w:val="20"/>
              </w:rPr>
              <w:t>
5) пожарную безопасность;</w:t>
            </w:r>
          </w:p>
          <w:p>
            <w:pPr>
              <w:spacing w:after="20"/>
              <w:ind w:left="20"/>
              <w:jc w:val="both"/>
            </w:pPr>
            <w:r>
              <w:rPr>
                <w:rFonts w:ascii="Times New Roman"/>
                <w:b w:val="false"/>
                <w:i w:val="false"/>
                <w:color w:val="000000"/>
                <w:sz w:val="20"/>
              </w:rPr>
              <w:t>
6) промышленную безопасность;</w:t>
            </w:r>
          </w:p>
          <w:p>
            <w:pPr>
              <w:spacing w:after="20"/>
              <w:ind w:left="20"/>
              <w:jc w:val="both"/>
            </w:pPr>
            <w:r>
              <w:rPr>
                <w:rFonts w:ascii="Times New Roman"/>
                <w:b w:val="false"/>
                <w:i w:val="false"/>
                <w:color w:val="000000"/>
                <w:sz w:val="20"/>
              </w:rPr>
              <w:t>
7) термическую безопасность;</w:t>
            </w:r>
          </w:p>
          <w:p>
            <w:pPr>
              <w:spacing w:after="20"/>
              <w:ind w:left="20"/>
              <w:jc w:val="both"/>
            </w:pPr>
            <w:r>
              <w:rPr>
                <w:rFonts w:ascii="Times New Roman"/>
                <w:b w:val="false"/>
                <w:i w:val="false"/>
                <w:color w:val="000000"/>
                <w:sz w:val="20"/>
              </w:rPr>
              <w:t>
8) электрическую безопасность;</w:t>
            </w:r>
          </w:p>
          <w:p>
            <w:pPr>
              <w:spacing w:after="20"/>
              <w:ind w:left="20"/>
              <w:jc w:val="both"/>
            </w:pPr>
            <w:r>
              <w:rPr>
                <w:rFonts w:ascii="Times New Roman"/>
                <w:b w:val="false"/>
                <w:i w:val="false"/>
                <w:color w:val="000000"/>
                <w:sz w:val="20"/>
              </w:rPr>
              <w:t>
9)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10) единство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степени риска расчетным, экспериментальным и экспертным путем, в том числе по данным эксплуатации аналогичных объектов инфраструктуры железнодорожного транспорта 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железнодорожного транспорта и продукции по прочности, устойчивости и техническому состоянию при безопасности движения поездов с наибольшими скоростями в пределах допустимых значений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выполненных на государственном языке государства - члена Евразийского экономического союза, в котором изготовлена продукция инфраструктуры железнодорожного транспорта, и на русском языке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уровню электромагнитных помех, создаваемых продукцией инфраструктуры железнодорожного транспорта, не превышающее значения, в пределах которых эти помехи не оказывают влияния на работоспособность объектов инфраструктуры железнодорожного транспорта, ее продукции, а также железнодорожного подвижного состава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железнодорожного электроснабжения, составных частей железнодорожного электроснабжения и элементов составных частей железнодорожного электроснабжения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соблюдение условий, при которых обеспечиваются:</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до линий электропередачи, не входящих в состав инфраструктуры железнодорожного транспорта;</w:t>
            </w:r>
          </w:p>
          <w:p>
            <w:pPr>
              <w:spacing w:after="20"/>
              <w:ind w:left="20"/>
              <w:jc w:val="both"/>
            </w:pPr>
            <w:r>
              <w:rPr>
                <w:rFonts w:ascii="Times New Roman"/>
                <w:b w:val="false"/>
                <w:i w:val="false"/>
                <w:color w:val="000000"/>
                <w:sz w:val="20"/>
              </w:rPr>
              <w:t>
напряжение не более допустимого значения при прикосновении к корпусам электрооборудования и другим металлическим конструкциям;</w:t>
            </w:r>
          </w:p>
          <w:p>
            <w:pPr>
              <w:spacing w:after="20"/>
              <w:ind w:left="20"/>
              <w:jc w:val="both"/>
            </w:pPr>
            <w:r>
              <w:rPr>
                <w:rFonts w:ascii="Times New Roman"/>
                <w:b w:val="false"/>
                <w:i w:val="false"/>
                <w:color w:val="000000"/>
                <w:sz w:val="20"/>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pPr>
              <w:spacing w:after="20"/>
              <w:ind w:left="20"/>
              <w:jc w:val="both"/>
            </w:pPr>
            <w:r>
              <w:rPr>
                <w:rFonts w:ascii="Times New Roman"/>
                <w:b w:val="false"/>
                <w:i w:val="false"/>
                <w:color w:val="000000"/>
                <w:sz w:val="20"/>
              </w:rPr>
              <w:t>
уровень радиопомех, создаваемых элементами составных частей железнодорожного электроснабжения, не выше допустимого значения;</w:t>
            </w:r>
          </w:p>
          <w:p>
            <w:pPr>
              <w:spacing w:after="20"/>
              <w:ind w:left="20"/>
              <w:jc w:val="both"/>
            </w:pPr>
            <w:r>
              <w:rPr>
                <w:rFonts w:ascii="Times New Roman"/>
                <w:b w:val="false"/>
                <w:i w:val="false"/>
                <w:color w:val="000000"/>
                <w:sz w:val="20"/>
              </w:rPr>
              <w:t>
автоматическое отключение тяговой сети или линий электропередачи при возникновении таких режимов, которые приводят к повреждению или нарушению исправного состояния железнодорожного электроснабжения и иных подсистем инфраструктуры железнодорожного транспорта;</w:t>
            </w:r>
          </w:p>
          <w:p>
            <w:pPr>
              <w:spacing w:after="20"/>
              <w:ind w:left="20"/>
              <w:jc w:val="both"/>
            </w:pPr>
            <w:r>
              <w:rPr>
                <w:rFonts w:ascii="Times New Roman"/>
                <w:b w:val="false"/>
                <w:i w:val="false"/>
                <w:color w:val="000000"/>
                <w:sz w:val="20"/>
              </w:rPr>
              <w:t>
наличие предупреждающих знаков;</w:t>
            </w:r>
          </w:p>
          <w:p>
            <w:pPr>
              <w:spacing w:after="20"/>
              <w:ind w:left="20"/>
              <w:jc w:val="both"/>
            </w:pPr>
            <w:r>
              <w:rPr>
                <w:rFonts w:ascii="Times New Roman"/>
                <w:b w:val="false"/>
                <w:i w:val="false"/>
                <w:color w:val="000000"/>
                <w:sz w:val="20"/>
              </w:rPr>
              <w:t>
пожарная безопасность как в нормальном, так и в аварийном режимах;</w:t>
            </w:r>
          </w:p>
          <w:p>
            <w:pPr>
              <w:spacing w:after="20"/>
              <w:ind w:left="20"/>
              <w:jc w:val="both"/>
            </w:pPr>
            <w:r>
              <w:rPr>
                <w:rFonts w:ascii="Times New Roman"/>
                <w:b w:val="false"/>
                <w:i w:val="false"/>
                <w:color w:val="000000"/>
                <w:sz w:val="20"/>
              </w:rPr>
              <w:t>
2) использование оборудования, параметры которого обеспечивают:</w:t>
            </w:r>
          </w:p>
          <w:p>
            <w:pPr>
              <w:spacing w:after="20"/>
              <w:ind w:left="20"/>
              <w:jc w:val="both"/>
            </w:pPr>
            <w:r>
              <w:rPr>
                <w:rFonts w:ascii="Times New Roman"/>
                <w:b w:val="false"/>
                <w:i w:val="false"/>
                <w:color w:val="000000"/>
                <w:sz w:val="20"/>
              </w:rPr>
              <w:t>
электрическую прочность изоляции не ниже допустимого значения;</w:t>
            </w:r>
          </w:p>
          <w:p>
            <w:pPr>
              <w:spacing w:after="20"/>
              <w:ind w:left="20"/>
              <w:jc w:val="both"/>
            </w:pPr>
            <w:r>
              <w:rPr>
                <w:rFonts w:ascii="Times New Roman"/>
                <w:b w:val="false"/>
                <w:i w:val="false"/>
                <w:color w:val="000000"/>
                <w:sz w:val="20"/>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p>
            <w:pPr>
              <w:spacing w:after="20"/>
              <w:ind w:left="20"/>
              <w:jc w:val="both"/>
            </w:pPr>
            <w:r>
              <w:rPr>
                <w:rFonts w:ascii="Times New Roman"/>
                <w:b w:val="false"/>
                <w:i w:val="false"/>
                <w:color w:val="000000"/>
                <w:sz w:val="20"/>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pPr>
              <w:spacing w:after="20"/>
              <w:ind w:left="20"/>
              <w:jc w:val="both"/>
            </w:pPr>
            <w:r>
              <w:rPr>
                <w:rFonts w:ascii="Times New Roman"/>
                <w:b w:val="false"/>
                <w:i w:val="false"/>
                <w:color w:val="000000"/>
                <w:sz w:val="20"/>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pPr>
              <w:spacing w:after="20"/>
              <w:ind w:left="20"/>
              <w:jc w:val="both"/>
            </w:pPr>
            <w:r>
              <w:rPr>
                <w:rFonts w:ascii="Times New Roman"/>
                <w:b w:val="false"/>
                <w:i w:val="false"/>
                <w:color w:val="000000"/>
                <w:sz w:val="20"/>
              </w:rPr>
              <w:t>
относительный прогиб в средней части несущих конструкций контактной сети не более допустимого значения;</w:t>
            </w:r>
          </w:p>
          <w:p>
            <w:pPr>
              <w:spacing w:after="20"/>
              <w:ind w:left="20"/>
              <w:jc w:val="both"/>
            </w:pPr>
            <w:r>
              <w:rPr>
                <w:rFonts w:ascii="Times New Roman"/>
                <w:b w:val="false"/>
                <w:i w:val="false"/>
                <w:color w:val="000000"/>
                <w:sz w:val="20"/>
              </w:rPr>
              <w:t>
обратное напряжение диодного заземлителя не менее допустимого значения;</w:t>
            </w:r>
          </w:p>
          <w:p>
            <w:pPr>
              <w:spacing w:after="20"/>
              <w:ind w:left="20"/>
              <w:jc w:val="both"/>
            </w:pPr>
            <w:r>
              <w:rPr>
                <w:rFonts w:ascii="Times New Roman"/>
                <w:b w:val="false"/>
                <w:i w:val="false"/>
                <w:color w:val="000000"/>
                <w:sz w:val="20"/>
              </w:rPr>
              <w:t>
импульсное напряжение срабатывания устройств защиты станций стыкования в пределах допустимых значений;</w:t>
            </w:r>
          </w:p>
          <w:p>
            <w:pPr>
              <w:spacing w:after="20"/>
              <w:ind w:left="20"/>
              <w:jc w:val="both"/>
            </w:pPr>
            <w:r>
              <w:rPr>
                <w:rFonts w:ascii="Times New Roman"/>
                <w:b w:val="false"/>
                <w:i w:val="false"/>
                <w:color w:val="000000"/>
                <w:sz w:val="20"/>
              </w:rPr>
              <w:t>
необходимый уровень защиты от опасного и вредного воздействия электромагнитных полей;</w:t>
            </w:r>
          </w:p>
          <w:p>
            <w:pPr>
              <w:spacing w:after="20"/>
              <w:ind w:left="20"/>
              <w:jc w:val="both"/>
            </w:pPr>
            <w:r>
              <w:rPr>
                <w:rFonts w:ascii="Times New Roman"/>
                <w:b w:val="false"/>
                <w:i w:val="false"/>
                <w:color w:val="000000"/>
                <w:sz w:val="20"/>
              </w:rPr>
              <w:t>
автоматическое отключение элементов составных частей железнодорожного электроснабжения в аварийном режиме работы (перегрузка, перегрев, короткое замыкание), исключающее возгорание его частей;</w:t>
            </w:r>
          </w:p>
          <w:p>
            <w:pPr>
              <w:spacing w:after="20"/>
              <w:ind w:left="20"/>
              <w:jc w:val="both"/>
            </w:pPr>
            <w:r>
              <w:rPr>
                <w:rFonts w:ascii="Times New Roman"/>
                <w:b w:val="false"/>
                <w:i w:val="false"/>
                <w:color w:val="000000"/>
                <w:sz w:val="20"/>
              </w:rPr>
              <w:t>
допустимый уровень электромагнитного излучения.</w:t>
            </w:r>
          </w:p>
          <w:p>
            <w:pPr>
              <w:spacing w:after="20"/>
              <w:ind w:left="20"/>
              <w:jc w:val="both"/>
            </w:pPr>
            <w:r>
              <w:rPr>
                <w:rFonts w:ascii="Times New Roman"/>
                <w:b w:val="false"/>
                <w:i w:val="false"/>
                <w:color w:val="000000"/>
                <w:sz w:val="20"/>
              </w:rPr>
              <w:t>
3) обеспечение механической прочности оборудования железнодорожного электроснабжения при воздействии:</w:t>
            </w:r>
          </w:p>
          <w:p>
            <w:pPr>
              <w:spacing w:after="20"/>
              <w:ind w:left="20"/>
              <w:jc w:val="both"/>
            </w:pPr>
            <w:r>
              <w:rPr>
                <w:rFonts w:ascii="Times New Roman"/>
                <w:b w:val="false"/>
                <w:i w:val="false"/>
                <w:color w:val="000000"/>
                <w:sz w:val="20"/>
              </w:rPr>
              <w:t>
эксплуатационных нагрузок;</w:t>
            </w:r>
          </w:p>
          <w:p>
            <w:pPr>
              <w:spacing w:after="20"/>
              <w:ind w:left="20"/>
              <w:jc w:val="both"/>
            </w:pPr>
            <w:r>
              <w:rPr>
                <w:rFonts w:ascii="Times New Roman"/>
                <w:b w:val="false"/>
                <w:i w:val="false"/>
                <w:color w:val="000000"/>
                <w:sz w:val="20"/>
              </w:rPr>
              <w:t>
нагрузок в расчетных аварийных режимах;</w:t>
            </w:r>
          </w:p>
          <w:p>
            <w:pPr>
              <w:spacing w:after="20"/>
              <w:ind w:left="20"/>
              <w:jc w:val="both"/>
            </w:pPr>
            <w:r>
              <w:rPr>
                <w:rFonts w:ascii="Times New Roman"/>
                <w:b w:val="false"/>
                <w:i w:val="false"/>
                <w:color w:val="000000"/>
                <w:sz w:val="20"/>
              </w:rPr>
              <w:t>
монтажных нагрузок;</w:t>
            </w:r>
          </w:p>
          <w:p>
            <w:pPr>
              <w:spacing w:after="20"/>
              <w:ind w:left="20"/>
              <w:jc w:val="both"/>
            </w:pPr>
            <w:r>
              <w:rPr>
                <w:rFonts w:ascii="Times New Roman"/>
                <w:b w:val="false"/>
                <w:i w:val="false"/>
                <w:color w:val="000000"/>
                <w:sz w:val="20"/>
              </w:rPr>
              <w:t>
4)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района эксплуатации, в том числе для режимов минимальной температуры, максимальной температуры, максимальной скорости ветра или гололеда с ветром;</w:t>
            </w:r>
          </w:p>
          <w:p>
            <w:pPr>
              <w:spacing w:after="20"/>
              <w:ind w:left="20"/>
              <w:jc w:val="both"/>
            </w:pPr>
            <w:r>
              <w:rPr>
                <w:rFonts w:ascii="Times New Roman"/>
                <w:b w:val="false"/>
                <w:i w:val="false"/>
                <w:color w:val="000000"/>
                <w:sz w:val="20"/>
              </w:rPr>
              <w:t>
5)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pPr>
              <w:spacing w:after="20"/>
              <w:ind w:left="20"/>
              <w:jc w:val="both"/>
            </w:pPr>
            <w:r>
              <w:rPr>
                <w:rFonts w:ascii="Times New Roman"/>
                <w:b w:val="false"/>
                <w:i w:val="false"/>
                <w:color w:val="000000"/>
                <w:sz w:val="20"/>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pPr>
              <w:spacing w:after="20"/>
              <w:ind w:left="20"/>
              <w:jc w:val="both"/>
            </w:pPr>
            <w:r>
              <w:rPr>
                <w:rFonts w:ascii="Times New Roman"/>
                <w:b w:val="false"/>
                <w:i w:val="false"/>
                <w:color w:val="000000"/>
                <w:sz w:val="20"/>
              </w:rPr>
              <w:t>
оборудования всех распределительных устройств напряжением свыше 1000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pPr>
              <w:spacing w:after="20"/>
              <w:ind w:left="20"/>
              <w:jc w:val="both"/>
            </w:pPr>
            <w:r>
              <w:rPr>
                <w:rFonts w:ascii="Times New Roman"/>
                <w:b w:val="false"/>
                <w:i w:val="false"/>
                <w:color w:val="000000"/>
                <w:sz w:val="20"/>
              </w:rPr>
              <w:t>
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pPr>
              <w:spacing w:after="20"/>
              <w:ind w:left="20"/>
              <w:jc w:val="both"/>
            </w:pPr>
            <w:r>
              <w:rPr>
                <w:rFonts w:ascii="Times New Roman"/>
                <w:b w:val="false"/>
                <w:i w:val="false"/>
                <w:color w:val="000000"/>
                <w:sz w:val="20"/>
              </w:rPr>
              <w:t>
6) обеспечения посредством элементов составных частей железнодорожного электроснабжения снабжения тягового подвижного состава, сооружений и устройств подсистем инфраструктуры железнодорожного транспорта электроэнергией с показателями качества, обеспечивающими их безопасное функционирование и повышение энергетической 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поездов обеспечивают: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поездов, а также оповещения работников, выполняющих работы на железнодорожных путях, о приближении поезда;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поездов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pPr>
              <w:spacing w:after="20"/>
              <w:ind w:left="20"/>
              <w:jc w:val="both"/>
            </w:pPr>
            <w:r>
              <w:rPr>
                <w:rFonts w:ascii="Times New Roman"/>
                <w:b w:val="false"/>
                <w:i w:val="false"/>
                <w:color w:val="000000"/>
                <w:sz w:val="20"/>
              </w:rPr>
              <w:t>
контроль положения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поезда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железнодорожным подвижным составом;</w:t>
            </w:r>
          </w:p>
          <w:p>
            <w:pPr>
              <w:spacing w:after="20"/>
              <w:ind w:left="20"/>
              <w:jc w:val="both"/>
            </w:pPr>
            <w:r>
              <w:rPr>
                <w:rFonts w:ascii="Times New Roman"/>
                <w:b w:val="false"/>
                <w:i w:val="false"/>
                <w:color w:val="000000"/>
                <w:sz w:val="20"/>
              </w:rPr>
              <w:t>
4) железнодорожная автоматика и телемеханика на сортировочных станциях обеспечивает:</w:t>
            </w:r>
          </w:p>
          <w:p>
            <w:pPr>
              <w:spacing w:after="20"/>
              <w:ind w:left="20"/>
              <w:jc w:val="both"/>
            </w:pPr>
            <w:r>
              <w:rPr>
                <w:rFonts w:ascii="Times New Roman"/>
                <w:b w:val="false"/>
                <w:i w:val="false"/>
                <w:color w:val="000000"/>
                <w:sz w:val="20"/>
              </w:rPr>
              <w:t>
непрерывное, бесперебойное и безопасное расформирование составов с расчетной (проектной) скоростью, безопасность сортировки вагонов;</w:t>
            </w:r>
          </w:p>
          <w:p>
            <w:pPr>
              <w:spacing w:after="20"/>
              <w:ind w:left="20"/>
              <w:jc w:val="both"/>
            </w:pPr>
            <w:r>
              <w:rPr>
                <w:rFonts w:ascii="Times New Roman"/>
                <w:b w:val="false"/>
                <w:i w:val="false"/>
                <w:color w:val="000000"/>
                <w:sz w:val="20"/>
              </w:rPr>
              <w:t>
индивидуальное управление стрелками;</w:t>
            </w:r>
          </w:p>
          <w:p>
            <w:pPr>
              <w:spacing w:after="20"/>
              <w:ind w:left="20"/>
              <w:jc w:val="both"/>
            </w:pPr>
            <w:r>
              <w:rPr>
                <w:rFonts w:ascii="Times New Roman"/>
                <w:b w:val="false"/>
                <w:i w:val="false"/>
                <w:color w:val="000000"/>
                <w:sz w:val="20"/>
              </w:rPr>
              <w:t>
исключение выхода железнодорожного подвижного состава в зону роспуска;</w:t>
            </w:r>
          </w:p>
          <w:p>
            <w:pPr>
              <w:spacing w:after="20"/>
              <w:ind w:left="20"/>
              <w:jc w:val="both"/>
            </w:pPr>
            <w:r>
              <w:rPr>
                <w:rFonts w:ascii="Times New Roman"/>
                <w:b w:val="false"/>
                <w:i w:val="false"/>
                <w:color w:val="000000"/>
                <w:sz w:val="20"/>
              </w:rPr>
              <w:t>
контроль положения стрелок и занятости стрелочных секций;</w:t>
            </w:r>
          </w:p>
          <w:p>
            <w:pPr>
              <w:spacing w:after="20"/>
              <w:ind w:left="20"/>
              <w:jc w:val="both"/>
            </w:pPr>
            <w:r>
              <w:rPr>
                <w:rFonts w:ascii="Times New Roman"/>
                <w:b w:val="false"/>
                <w:i w:val="false"/>
                <w:color w:val="000000"/>
                <w:sz w:val="20"/>
              </w:rPr>
              <w:t>
недопущение перевода стрелки под железнодорожным подвижным составом;</w:t>
            </w:r>
          </w:p>
          <w:p>
            <w:pPr>
              <w:spacing w:after="20"/>
              <w:ind w:left="20"/>
              <w:jc w:val="both"/>
            </w:pPr>
            <w:r>
              <w:rPr>
                <w:rFonts w:ascii="Times New Roman"/>
                <w:b w:val="false"/>
                <w:i w:val="false"/>
                <w:color w:val="000000"/>
                <w:sz w:val="20"/>
              </w:rPr>
              <w:t>
управление и контроль надвигом и роспуском;</w:t>
            </w:r>
          </w:p>
          <w:p>
            <w:pPr>
              <w:spacing w:after="20"/>
              <w:ind w:left="20"/>
              <w:jc w:val="both"/>
            </w:pPr>
            <w:r>
              <w:rPr>
                <w:rFonts w:ascii="Times New Roman"/>
                <w:b w:val="false"/>
                <w:i w:val="false"/>
                <w:color w:val="000000"/>
                <w:sz w:val="20"/>
              </w:rPr>
              <w:t>
5)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6) железнодорожная автоматика и телемеханика совместима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7)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прямого или косвенного воздействия электрического тока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возникновения повышенных температур, дуговых разрядов или излучений, которые приводят к появлению опасностей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травм вращающимися и неподвижными частями низковольтного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изоляционной защите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механической и коммутационной износостойкости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устойчивости к внешним воздействующим факторам, в том числе немеханического характера, при соответствующих климатических условиях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перегрузках, аварийных режимах и отказах, вызываемых влиянием внешних и внутренних воздействующих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подключении и (или) монтаже.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при разработке и его изготовлению, по исключению факторов влекущих возникновения пожара в нормальных и аварийных условиях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потребителя (пользователя) необходимого уровня информации для безопасного применения низковольтного оборудования по назначению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бытового назначения по классу опасности не выше III класса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требованиям перевозки различными видами транспорта в качестве опасных грузов, транспортная опасность которых определяется на основе международных принципов классификации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максимально допустимого уровня безопасности пиротехнических изделий, в том числе:</w:t>
            </w:r>
          </w:p>
          <w:p>
            <w:pPr>
              <w:spacing w:after="20"/>
              <w:ind w:left="20"/>
              <w:jc w:val="both"/>
            </w:pPr>
            <w:r>
              <w:rPr>
                <w:rFonts w:ascii="Times New Roman"/>
                <w:b w:val="false"/>
                <w:i w:val="false"/>
                <w:color w:val="000000"/>
                <w:sz w:val="20"/>
              </w:rPr>
              <w:t>
1) пиротехнические изделия I-IV классов при задействовании от встроенного узла запуска или внешнего стандартного электродетонатора (типа ЭД-8) не детонируют, а случайное срабатывание изделия не приведет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pPr>
              <w:spacing w:after="20"/>
              <w:ind w:left="20"/>
              <w:jc w:val="both"/>
            </w:pPr>
            <w:r>
              <w:rPr>
                <w:rFonts w:ascii="Times New Roman"/>
                <w:b w:val="false"/>
                <w:i w:val="false"/>
                <w:color w:val="000000"/>
                <w:sz w:val="20"/>
              </w:rPr>
              <w:t>
2) время замедления до начала работы пиротехнического изделия бытового назначения, создающего эффект на высоте, достаточное для удаления потребителя на расстояние, указанное в инструкции по применению;</w:t>
            </w:r>
          </w:p>
          <w:p>
            <w:pPr>
              <w:spacing w:after="20"/>
              <w:ind w:left="20"/>
              <w:jc w:val="both"/>
            </w:pPr>
            <w:r>
              <w:rPr>
                <w:rFonts w:ascii="Times New Roman"/>
                <w:b w:val="false"/>
                <w:i w:val="false"/>
                <w:color w:val="000000"/>
                <w:sz w:val="20"/>
              </w:rPr>
              <w:t>
3) для пиротехнических изделий бытового назначения в процессе хранения и эксплуатации запрещается проверка работоспособности, а также проверка электрических устройств инициирования;</w:t>
            </w:r>
          </w:p>
          <w:p>
            <w:pPr>
              <w:spacing w:after="20"/>
              <w:ind w:left="20"/>
              <w:jc w:val="both"/>
            </w:pPr>
            <w:r>
              <w:rPr>
                <w:rFonts w:ascii="Times New Roman"/>
                <w:b w:val="false"/>
                <w:i w:val="false"/>
                <w:color w:val="000000"/>
                <w:sz w:val="20"/>
              </w:rPr>
              <w:t>
4) не допускается использование электрических систем инициирования в изделиях I класса;</w:t>
            </w:r>
          </w:p>
          <w:p>
            <w:pPr>
              <w:spacing w:after="20"/>
              <w:ind w:left="20"/>
              <w:jc w:val="both"/>
            </w:pPr>
            <w:r>
              <w:rPr>
                <w:rFonts w:ascii="Times New Roman"/>
                <w:b w:val="false"/>
                <w:i w:val="false"/>
                <w:color w:val="000000"/>
                <w:sz w:val="20"/>
              </w:rPr>
              <w:t>
5) эксплуатационная документация на фейерверочные изделия содержит следующую дополнительную специальную информацию:</w:t>
            </w:r>
          </w:p>
          <w:p>
            <w:pPr>
              <w:spacing w:after="20"/>
              <w:ind w:left="20"/>
              <w:jc w:val="both"/>
            </w:pPr>
            <w:r>
              <w:rPr>
                <w:rFonts w:ascii="Times New Roman"/>
                <w:b w:val="false"/>
                <w:i w:val="false"/>
                <w:color w:val="000000"/>
                <w:sz w:val="20"/>
              </w:rPr>
              <w:t>
значение максимального давления, создаваемого в мортире (иных силовых воздействий на пусковое оборудование);</w:t>
            </w:r>
          </w:p>
          <w:p>
            <w:pPr>
              <w:spacing w:after="20"/>
              <w:ind w:left="20"/>
              <w:jc w:val="both"/>
            </w:pPr>
            <w:r>
              <w:rPr>
                <w:rFonts w:ascii="Times New Roman"/>
                <w:b w:val="false"/>
                <w:i w:val="false"/>
                <w:color w:val="000000"/>
                <w:sz w:val="20"/>
              </w:rPr>
              <w:t>
описание производимых эффектов;</w:t>
            </w:r>
          </w:p>
          <w:p>
            <w:pPr>
              <w:spacing w:after="20"/>
              <w:ind w:left="20"/>
              <w:jc w:val="both"/>
            </w:pPr>
            <w:r>
              <w:rPr>
                <w:rFonts w:ascii="Times New Roman"/>
                <w:b w:val="false"/>
                <w:i w:val="false"/>
                <w:color w:val="000000"/>
                <w:sz w:val="20"/>
              </w:rPr>
              <w:t xml:space="preserve">
указание высоты разрыва (подъема); </w:t>
            </w:r>
          </w:p>
          <w:p>
            <w:pPr>
              <w:spacing w:after="20"/>
              <w:ind w:left="20"/>
              <w:jc w:val="both"/>
            </w:pPr>
            <w:r>
              <w:rPr>
                <w:rFonts w:ascii="Times New Roman"/>
                <w:b w:val="false"/>
                <w:i w:val="false"/>
                <w:color w:val="000000"/>
                <w:sz w:val="20"/>
              </w:rPr>
              <w:t>
указание возможной высоты догорания пироэлементов;</w:t>
            </w:r>
          </w:p>
          <w:p>
            <w:pPr>
              <w:spacing w:after="20"/>
              <w:ind w:left="20"/>
              <w:jc w:val="both"/>
            </w:pPr>
            <w:r>
              <w:rPr>
                <w:rFonts w:ascii="Times New Roman"/>
                <w:b w:val="false"/>
                <w:i w:val="false"/>
                <w:color w:val="000000"/>
                <w:sz w:val="20"/>
              </w:rPr>
              <w:t>
радиус опасной зоны в зависимости от скорости ветра;</w:t>
            </w:r>
          </w:p>
          <w:p>
            <w:pPr>
              <w:spacing w:after="20"/>
              <w:ind w:left="20"/>
              <w:jc w:val="both"/>
            </w:pPr>
            <w:r>
              <w:rPr>
                <w:rFonts w:ascii="Times New Roman"/>
                <w:b w:val="false"/>
                <w:i w:val="false"/>
                <w:color w:val="000000"/>
                <w:sz w:val="20"/>
              </w:rPr>
              <w:t>
время замедления (для изделий с огнепроводным элементом);</w:t>
            </w:r>
          </w:p>
          <w:p>
            <w:pPr>
              <w:spacing w:after="20"/>
              <w:ind w:left="20"/>
              <w:jc w:val="both"/>
            </w:pPr>
            <w:r>
              <w:rPr>
                <w:rFonts w:ascii="Times New Roman"/>
                <w:b w:val="false"/>
                <w:i w:val="false"/>
                <w:color w:val="000000"/>
                <w:sz w:val="20"/>
              </w:rPr>
              <w:t>
рекомендуемые размеры (диаметр, длина рабочей части) мортиры;</w:t>
            </w:r>
          </w:p>
          <w:p>
            <w:pPr>
              <w:spacing w:after="20"/>
              <w:ind w:left="20"/>
              <w:jc w:val="both"/>
            </w:pPr>
            <w:r>
              <w:rPr>
                <w:rFonts w:ascii="Times New Roman"/>
                <w:b w:val="false"/>
                <w:i w:val="false"/>
                <w:color w:val="000000"/>
                <w:sz w:val="20"/>
              </w:rPr>
              <w:t>
6) пиротехнические изделия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pPr>
              <w:spacing w:after="20"/>
              <w:ind w:left="20"/>
              <w:jc w:val="both"/>
            </w:pPr>
            <w:r>
              <w:rPr>
                <w:rFonts w:ascii="Times New Roman"/>
                <w:b w:val="false"/>
                <w:i w:val="false"/>
                <w:color w:val="000000"/>
                <w:sz w:val="20"/>
              </w:rPr>
              <w:t>
не имеют опасность выше IV класса;</w:t>
            </w:r>
          </w:p>
          <w:p>
            <w:pPr>
              <w:spacing w:after="20"/>
              <w:ind w:left="20"/>
              <w:jc w:val="both"/>
            </w:pPr>
            <w:r>
              <w:rPr>
                <w:rFonts w:ascii="Times New Roman"/>
                <w:b w:val="false"/>
                <w:i w:val="false"/>
                <w:color w:val="000000"/>
                <w:sz w:val="20"/>
              </w:rPr>
              <w:t>
имеют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эксплуатируются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pPr>
              <w:spacing w:after="20"/>
              <w:ind w:left="20"/>
              <w:jc w:val="both"/>
            </w:pPr>
            <w:r>
              <w:rPr>
                <w:rFonts w:ascii="Times New Roman"/>
                <w:b w:val="false"/>
                <w:i w:val="false"/>
                <w:color w:val="000000"/>
                <w:sz w:val="20"/>
              </w:rPr>
              <w:t>
7) на пиротехнические изделия оформляется конструкторская и технологическая документация, соблюдение которой обеспечивает соответствие разработанных пиротехнических изделий на всех последующих этапах обращения. Указание в конструкторской документации технических требований, характеристик, определяющих безопасность пиротехнических изделий, без указания метода их контроля не допускается;</w:t>
            </w:r>
          </w:p>
          <w:p>
            <w:pPr>
              <w:spacing w:after="20"/>
              <w:ind w:left="20"/>
              <w:jc w:val="both"/>
            </w:pPr>
            <w:r>
              <w:rPr>
                <w:rFonts w:ascii="Times New Roman"/>
                <w:b w:val="false"/>
                <w:i w:val="false"/>
                <w:color w:val="000000"/>
                <w:sz w:val="20"/>
              </w:rPr>
              <w:t>
8) для пиротехнических изделий определяются опасные факторы на всех этапах обращения с ними с учетом:</w:t>
            </w:r>
          </w:p>
          <w:p>
            <w:pPr>
              <w:spacing w:after="20"/>
              <w:ind w:left="20"/>
              <w:jc w:val="both"/>
            </w:pPr>
            <w:r>
              <w:rPr>
                <w:rFonts w:ascii="Times New Roman"/>
                <w:b w:val="false"/>
                <w:i w:val="false"/>
                <w:color w:val="000000"/>
                <w:sz w:val="20"/>
              </w:rPr>
              <w:t>
свойств используемых пиротехнических составов;</w:t>
            </w:r>
          </w:p>
          <w:p>
            <w:pPr>
              <w:spacing w:after="20"/>
              <w:ind w:left="20"/>
              <w:jc w:val="both"/>
            </w:pPr>
            <w:r>
              <w:rPr>
                <w:rFonts w:ascii="Times New Roman"/>
                <w:b w:val="false"/>
                <w:i w:val="false"/>
                <w:color w:val="000000"/>
                <w:sz w:val="20"/>
              </w:rPr>
              <w:t>
чувствительности пиротехнических изделий к воздействию внешних факторов;</w:t>
            </w:r>
          </w:p>
          <w:p>
            <w:pPr>
              <w:spacing w:after="20"/>
              <w:ind w:left="20"/>
              <w:jc w:val="both"/>
            </w:pPr>
            <w:r>
              <w:rPr>
                <w:rFonts w:ascii="Times New Roman"/>
                <w:b w:val="false"/>
                <w:i w:val="false"/>
                <w:color w:val="000000"/>
                <w:sz w:val="20"/>
              </w:rPr>
              <w:t>
особенностей конструкции пиротехнического изделия и его упаковки;</w:t>
            </w:r>
          </w:p>
          <w:p>
            <w:pPr>
              <w:spacing w:after="20"/>
              <w:ind w:left="20"/>
              <w:jc w:val="both"/>
            </w:pPr>
            <w:r>
              <w:rPr>
                <w:rFonts w:ascii="Times New Roman"/>
                <w:b w:val="false"/>
                <w:i w:val="false"/>
                <w:color w:val="000000"/>
                <w:sz w:val="20"/>
              </w:rPr>
              <w:t>
способов и условий эксплуатации пиротехнических изделий;</w:t>
            </w:r>
          </w:p>
          <w:p>
            <w:pPr>
              <w:spacing w:after="20"/>
              <w:ind w:left="20"/>
              <w:jc w:val="both"/>
            </w:pPr>
            <w:r>
              <w:rPr>
                <w:rFonts w:ascii="Times New Roman"/>
                <w:b w:val="false"/>
                <w:i w:val="false"/>
                <w:color w:val="000000"/>
                <w:sz w:val="20"/>
              </w:rPr>
              <w:t>
способов и методов утилизации пиротехнических изделий;</w:t>
            </w:r>
          </w:p>
          <w:p>
            <w:pPr>
              <w:spacing w:after="20"/>
              <w:ind w:left="20"/>
              <w:jc w:val="both"/>
            </w:pPr>
            <w:r>
              <w:rPr>
                <w:rFonts w:ascii="Times New Roman"/>
                <w:b w:val="false"/>
                <w:i w:val="false"/>
                <w:color w:val="000000"/>
                <w:sz w:val="20"/>
              </w:rPr>
              <w:t>
9) для пиротехнических изделий анализируются и устанавливаются меры по обеспечению безопасности на всех последующих этапах обращения с ними путем:</w:t>
            </w:r>
          </w:p>
          <w:p>
            <w:pPr>
              <w:spacing w:after="20"/>
              <w:ind w:left="20"/>
              <w:jc w:val="both"/>
            </w:pPr>
            <w:r>
              <w:rPr>
                <w:rFonts w:ascii="Times New Roman"/>
                <w:b w:val="false"/>
                <w:i w:val="false"/>
                <w:color w:val="000000"/>
                <w:sz w:val="20"/>
              </w:rPr>
              <w:t>
исследования и определения характеристик опасности, включая установление класса опасности;</w:t>
            </w:r>
          </w:p>
          <w:p>
            <w:pPr>
              <w:spacing w:after="20"/>
              <w:ind w:left="20"/>
              <w:jc w:val="both"/>
            </w:pPr>
            <w:r>
              <w:rPr>
                <w:rFonts w:ascii="Times New Roman"/>
                <w:b w:val="false"/>
                <w:i w:val="false"/>
                <w:color w:val="000000"/>
                <w:sz w:val="20"/>
              </w:rPr>
              <w:t>
определения условий, сроков годности и требований по перевозке, в том числе классификационных кодов пиротехнических изделий в целях перевозки опасных грузов;</w:t>
            </w:r>
          </w:p>
          <w:p>
            <w:pPr>
              <w:spacing w:after="20"/>
              <w:ind w:left="20"/>
              <w:jc w:val="both"/>
            </w:pPr>
            <w:r>
              <w:rPr>
                <w:rFonts w:ascii="Times New Roman"/>
                <w:b w:val="false"/>
                <w:i w:val="false"/>
                <w:color w:val="000000"/>
                <w:sz w:val="20"/>
              </w:rPr>
              <w:t>
разработки необходимой для потребителя информации по безопасной эксплуатации и утилизации пиротехнических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пиротехническим изделиям бытового назначения по упаковыванию в транспортную тару, содержащую средства пламегашения и подвергнутую огнезащитной обработке, с нанесением на тару специального знака пожарной безопасности "Упаковка с огнезащитой" и надписи "Внутренняя огнезащита"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в процессе реализации пиротехнических изделий нижеследующему:</w:t>
            </w:r>
          </w:p>
          <w:p>
            <w:pPr>
              <w:spacing w:after="20"/>
              <w:ind w:left="20"/>
              <w:jc w:val="both"/>
            </w:pPr>
            <w:r>
              <w:rPr>
                <w:rFonts w:ascii="Times New Roman"/>
                <w:b w:val="false"/>
                <w:i w:val="false"/>
                <w:color w:val="000000"/>
                <w:sz w:val="20"/>
              </w:rPr>
              <w:t>
1)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p>
            <w:pPr>
              <w:spacing w:after="20"/>
              <w:ind w:left="20"/>
              <w:jc w:val="both"/>
            </w:pPr>
            <w:r>
              <w:rPr>
                <w:rFonts w:ascii="Times New Roman"/>
                <w:b w:val="false"/>
                <w:i w:val="false"/>
                <w:color w:val="000000"/>
                <w:sz w:val="20"/>
              </w:rPr>
              <w:t>
2) 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м</w:t>
            </w:r>
            <w:r>
              <w:rPr>
                <w:rFonts w:ascii="Times New Roman"/>
                <w:b w:val="false"/>
                <w:i w:val="false"/>
                <w:color w:val="000000"/>
                <w:vertAlign w:val="superscript"/>
              </w:rPr>
              <w:t>2</w:t>
            </w:r>
            <w:r>
              <w:rPr>
                <w:rFonts w:ascii="Times New Roman"/>
                <w:b w:val="false"/>
                <w:i w:val="false"/>
                <w:color w:val="000000"/>
                <w:sz w:val="20"/>
              </w:rPr>
              <w:t xml:space="preserve"> торгового помещения. В торговых помещениях менее 25 м</w:t>
            </w:r>
            <w:r>
              <w:rPr>
                <w:rFonts w:ascii="Times New Roman"/>
                <w:b w:val="false"/>
                <w:i w:val="false"/>
                <w:color w:val="000000"/>
                <w:vertAlign w:val="superscript"/>
              </w:rPr>
              <w:t>2</w:t>
            </w:r>
            <w:r>
              <w:rPr>
                <w:rFonts w:ascii="Times New Roman"/>
                <w:b w:val="false"/>
                <w:i w:val="false"/>
                <w:color w:val="000000"/>
                <w:sz w:val="20"/>
              </w:rPr>
              <w:t xml:space="preserve"> допускается хранение и реализация одновременно не более 333 кг пиротехнических изделий бытового назначения по массе брутто;</w:t>
            </w:r>
          </w:p>
          <w:p>
            <w:pPr>
              <w:spacing w:after="20"/>
              <w:ind w:left="20"/>
              <w:jc w:val="both"/>
            </w:pPr>
            <w:r>
              <w:rPr>
                <w:rFonts w:ascii="Times New Roman"/>
                <w:b w:val="false"/>
                <w:i w:val="false"/>
                <w:color w:val="000000"/>
                <w:sz w:val="20"/>
              </w:rPr>
              <w:t>
3) расположение помещений, в которых осуществляется реализация пиротехнических изделий бытового назначения, не создавать препятствий для эвакуации людей при нештатных ситуациях.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 Допускается устанавливать дополнительные требования пожарной безопасности в соответствии с правилами пожарной безопасности;</w:t>
            </w:r>
          </w:p>
          <w:p>
            <w:pPr>
              <w:spacing w:after="20"/>
              <w:ind w:left="20"/>
              <w:jc w:val="both"/>
            </w:pPr>
            <w:r>
              <w:rPr>
                <w:rFonts w:ascii="Times New Roman"/>
                <w:b w:val="false"/>
                <w:i w:val="false"/>
                <w:color w:val="000000"/>
                <w:sz w:val="20"/>
              </w:rPr>
              <w:t>
4)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пиротехнических изделиях и исключают любые действия покупателей с изделиями, кроме визуального осмотра;</w:t>
            </w:r>
          </w:p>
          <w:p>
            <w:pPr>
              <w:spacing w:after="20"/>
              <w:ind w:left="20"/>
              <w:jc w:val="both"/>
            </w:pPr>
            <w:r>
              <w:rPr>
                <w:rFonts w:ascii="Times New Roman"/>
                <w:b w:val="false"/>
                <w:i w:val="false"/>
                <w:color w:val="000000"/>
                <w:sz w:val="20"/>
              </w:rPr>
              <w:t>
5) пиротехнические изделия бытового назначения располагаются не ближе 0,5 м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бытового назначения не допускаются;</w:t>
            </w:r>
          </w:p>
          <w:p>
            <w:pPr>
              <w:spacing w:after="20"/>
              <w:ind w:left="20"/>
              <w:jc w:val="both"/>
            </w:pPr>
            <w:r>
              <w:rPr>
                <w:rFonts w:ascii="Times New Roman"/>
                <w:b w:val="false"/>
                <w:i w:val="false"/>
                <w:color w:val="000000"/>
                <w:sz w:val="20"/>
              </w:rPr>
              <w:t>
6)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продавцами-консультантами, непосредственный доступ покупателей к пиротехническим изделиям бытового назначения исключается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машине и оборудовании четких и нестираемых предупреждающих надписей или знаков о видах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машине и оборудовании хорошо различимой четкой и нестираемой идентификационной надписи, содержащую: </w:t>
            </w:r>
          </w:p>
          <w:p>
            <w:pPr>
              <w:spacing w:after="20"/>
              <w:ind w:left="20"/>
              <w:jc w:val="both"/>
            </w:pPr>
            <w:r>
              <w:rPr>
                <w:rFonts w:ascii="Times New Roman"/>
                <w:b w:val="false"/>
                <w:i w:val="false"/>
                <w:color w:val="000000"/>
                <w:sz w:val="20"/>
              </w:rPr>
              <w:t>
1) наименование изготовителя и его товарный знак;</w:t>
            </w:r>
          </w:p>
          <w:p>
            <w:pPr>
              <w:spacing w:after="20"/>
              <w:ind w:left="20"/>
              <w:jc w:val="both"/>
            </w:pPr>
            <w:r>
              <w:rPr>
                <w:rFonts w:ascii="Times New Roman"/>
                <w:b w:val="false"/>
                <w:i w:val="false"/>
                <w:color w:val="000000"/>
                <w:sz w:val="20"/>
              </w:rPr>
              <w:t>
2) наименование и обозначение машины и оборудования (тип, марка, модель (при наличии));</w:t>
            </w:r>
          </w:p>
          <w:p>
            <w:pPr>
              <w:spacing w:after="20"/>
              <w:ind w:left="20"/>
              <w:jc w:val="both"/>
            </w:pPr>
            <w:r>
              <w:rPr>
                <w:rFonts w:ascii="Times New Roman"/>
                <w:b w:val="false"/>
                <w:i w:val="false"/>
                <w:color w:val="000000"/>
                <w:sz w:val="20"/>
              </w:rPr>
              <w:t>
месяц и год изготовления, а при невозможности нанести на машину и оборудование, с указанием надписи в прилагаемом к данной машине и оборудованию руководстве (инструкции) по эксплуатации. При этом наименование изготовителя и его товарный знак, наименование и обозначение машины и оборудования (тип, марка, модель (при наличии))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идентификационной надписи машины и оборудования, в руководстве (инструкции) по эксплуатации с содержанием наименования и местонахождения изготовителя (уполномоченного изготовителем лица), импортера, информации для связи с ними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 выполненного на русском языке и на государственном языке государства - члена Евразийского экономического союза при наличии соответствующих требований в законодательстве государства – члена Евразийского экономического союза, на бумажных носителях, на электронных носителях, а также только на электронных носителях входящее в комплект машины и оборудования не бытового назначения, по выбору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безопасных материалов и веществ, для упаковки машины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безопасности при транспортировании и хранении машин и оборудования, их узлов и деталей, предусмотренных проектной (конструкторской) и эксплуатационной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разработчиком (проектировщиком), при изменении конструкции машины и оборудования, возникающие при их ремонте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соответствия в форме технического освидетельствования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для обеспечения безопасности лифта и устройств безопасности лифтов выполняются следующие требования: </w:t>
            </w:r>
          </w:p>
          <w:p>
            <w:pPr>
              <w:spacing w:after="20"/>
              <w:ind w:left="20"/>
              <w:jc w:val="both"/>
            </w:pPr>
            <w:r>
              <w:rPr>
                <w:rFonts w:ascii="Times New Roman"/>
                <w:b w:val="false"/>
                <w:i w:val="false"/>
                <w:color w:val="000000"/>
                <w:sz w:val="20"/>
              </w:rPr>
              <w:t>
недоступность для пользователей и посторонних лиц оборудования лифта, устанавливаемого в:</w:t>
            </w:r>
          </w:p>
          <w:p>
            <w:pPr>
              <w:spacing w:after="20"/>
              <w:ind w:left="20"/>
              <w:jc w:val="both"/>
            </w:pPr>
            <w:r>
              <w:rPr>
                <w:rFonts w:ascii="Times New Roman"/>
                <w:b w:val="false"/>
                <w:i w:val="false"/>
                <w:color w:val="000000"/>
                <w:sz w:val="20"/>
              </w:rPr>
              <w:t>
1) шкафах для размещения оборудования;</w:t>
            </w:r>
          </w:p>
          <w:p>
            <w:pPr>
              <w:spacing w:after="20"/>
              <w:ind w:left="20"/>
              <w:jc w:val="both"/>
            </w:pPr>
            <w:r>
              <w:rPr>
                <w:rFonts w:ascii="Times New Roman"/>
                <w:b w:val="false"/>
                <w:i w:val="false"/>
                <w:color w:val="000000"/>
                <w:sz w:val="20"/>
              </w:rPr>
              <w:t>
2) машинном помещении;</w:t>
            </w:r>
          </w:p>
          <w:p>
            <w:pPr>
              <w:spacing w:after="20"/>
              <w:ind w:left="20"/>
              <w:jc w:val="both"/>
            </w:pPr>
            <w:r>
              <w:rPr>
                <w:rFonts w:ascii="Times New Roman"/>
                <w:b w:val="false"/>
                <w:i w:val="false"/>
                <w:color w:val="000000"/>
                <w:sz w:val="20"/>
              </w:rPr>
              <w:t>
3) блочном помещении;</w:t>
            </w:r>
          </w:p>
          <w:p>
            <w:pPr>
              <w:spacing w:after="20"/>
              <w:ind w:left="20"/>
              <w:jc w:val="both"/>
            </w:pPr>
            <w:r>
              <w:rPr>
                <w:rFonts w:ascii="Times New Roman"/>
                <w:b w:val="false"/>
                <w:i w:val="false"/>
                <w:color w:val="000000"/>
                <w:sz w:val="20"/>
              </w:rPr>
              <w:t>
шахте лифта, за исключением оборудования расположенного в кабине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защите пользователей и посторонних лиц от получения травм в результате соприкосновения с движущимися частями оборудования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блокировки для остановки или предотвращения движения кабины лифта,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освещения кабины лифта, предназначенной для перевозки людей, в том числе при перебое в электроснабжении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по предотвращению падения людей в шахту лифта с этажных и прилегающих к шахте площадок здания (сооружения) и из кабины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размера дверного проема лифта безопасному входу в кабину и выхода из нее на этажную площадку, безопасную загрузку и разгрузку кабины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расстояния между элементами конструкции кабины и шахты лифта исключению возможности проникновения человека в шахту при открытых дверях шахты и кабины, а также при нахождении кабины в зоне этажной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лифта, до пределов, снижающих опасность получения травм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кабины, тяговых элементов, подвески и опоры кабины лифта, противовесов, элементов их крепления выдерживанию нагрузки, возникающей при использовании по назначению и испытаниях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предназначенного для перемещения людей, средств для подключения к двусторонней переговорной связи, при помощи которой пассажир может вызвать помощь извне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средств, предотвращающих пуск перегруженной кабины в режиме нормальной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перемещение кабины за пределы крайних рабочих положений (этажных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величину превышения номинальной скорости кабины лифта при движении вниз до пределов, снижающих опасность получения травм или поломки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ловители и буфера при их срабатывании обеспечивают замедление движения кабины с целью снижения опасности получения травм или поломки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воздухообмена в кабине лифта, предназначенной для перемещения людей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безопасного входа персонала на рабочую площадку в шахте и крышу кабины лифта и выход с нее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требования, при котором рабочая площадка и крыша кабины лифта (при необходимости размещения персонала) выдерживает нагрузки от находящегося на ней персонала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снижающих риск падения персонала с рабочей площадки, находящейся в шахте, и с крыши кабины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остановки и управления движением кабины лифта персоналом при проведении технического обслуживания. В том числе соблюдение требования при котором при необходимости перемещения персонала по шахте на кабине предусматриваются средства для управления движением на безопасной скорости и остановки кабины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для предотвращения травмирования находящегося в шахте лифта персонала при неконтролируемом движении частей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создания уровня освещенности зон обслуживания лифта и лифтового оборудования, достаточного для безопасного проведения работ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обеспечению электробезопасности пользователей, и персонала лифта и лифтового оборудования при их воздействии на аппараты управления лифтом и прикосновении к токопроводящим конструкциям лифта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предела огнестойкости дверей шахты лифта требованиям пожарной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обеспечивающих возможность пассажирам безопасно покинуть кабину лифта при возникновении пожарной опасности в здании (сооружении)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котором для обеспечения безопасности на лифте, предназначенном, в том числе для перевозки лиц с инвалидностью и маломобильных групп населения, выполняется нижеследующее: </w:t>
            </w:r>
          </w:p>
          <w:p>
            <w:pPr>
              <w:spacing w:after="20"/>
              <w:ind w:left="20"/>
              <w:jc w:val="both"/>
            </w:pPr>
            <w:r>
              <w:rPr>
                <w:rFonts w:ascii="Times New Roman"/>
                <w:b w:val="false"/>
                <w:i w:val="false"/>
                <w:color w:val="000000"/>
                <w:sz w:val="20"/>
              </w:rPr>
              <w:t>
1) размеры кабины, дверного проема кабины и шахты обеспечивают безопасный въезд и выезд из кабины, а также размещение в кабине пользователя на кресле-коляске;</w:t>
            </w:r>
          </w:p>
          <w:p>
            <w:pPr>
              <w:spacing w:after="20"/>
              <w:ind w:left="20"/>
              <w:jc w:val="both"/>
            </w:pPr>
            <w:r>
              <w:rPr>
                <w:rFonts w:ascii="Times New Roman"/>
                <w:b w:val="false"/>
                <w:i w:val="false"/>
                <w:color w:val="000000"/>
                <w:sz w:val="20"/>
              </w:rPr>
              <w:t>
2) двери кабины и шахты лифта, предназначенного для транспортирования пользователя в кресле-коляске без сопровождающих, открываются и закрываются автоматически;</w:t>
            </w:r>
          </w:p>
          <w:p>
            <w:pPr>
              <w:spacing w:after="20"/>
              <w:ind w:left="20"/>
              <w:jc w:val="both"/>
            </w:pPr>
            <w:r>
              <w:rPr>
                <w:rFonts w:ascii="Times New Roman"/>
                <w:b w:val="false"/>
                <w:i w:val="false"/>
                <w:color w:val="000000"/>
                <w:sz w:val="20"/>
              </w:rPr>
              <w:t>
3) кабина лифта оборудуется, по крайней мере, одним поручнем, расположение которого облегчает пользователю доступ в кабину и к устройствам управления;</w:t>
            </w:r>
          </w:p>
          <w:p>
            <w:pPr>
              <w:spacing w:after="20"/>
              <w:ind w:left="20"/>
              <w:jc w:val="both"/>
            </w:pPr>
            <w:r>
              <w:rPr>
                <w:rFonts w:ascii="Times New Roman"/>
                <w:b w:val="false"/>
                <w:i w:val="false"/>
                <w:color w:val="000000"/>
                <w:sz w:val="20"/>
              </w:rPr>
              <w:t>
4)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кресле-коляске;</w:t>
            </w:r>
          </w:p>
          <w:p>
            <w:pPr>
              <w:spacing w:after="20"/>
              <w:ind w:left="20"/>
              <w:jc w:val="both"/>
            </w:pPr>
            <w:r>
              <w:rPr>
                <w:rFonts w:ascii="Times New Roman"/>
                <w:b w:val="false"/>
                <w:i w:val="false"/>
                <w:color w:val="000000"/>
                <w:sz w:val="20"/>
              </w:rPr>
              <w:t>
конструкция и размещение устройств управления и сигнализации (звуковой и световой) в кабине лифта и на этажной площадке обеспечивает безопасность и доступность лифта для лиц с инвалидностью и маломобильных групп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на лифте, обеспечивающем транспортирование пожарных во время пожара, выполняется нижеследующее:</w:t>
            </w:r>
          </w:p>
          <w:p>
            <w:pPr>
              <w:spacing w:after="20"/>
              <w:ind w:left="20"/>
              <w:jc w:val="both"/>
            </w:pPr>
            <w:r>
              <w:rPr>
                <w:rFonts w:ascii="Times New Roman"/>
                <w:b w:val="false"/>
                <w:i w:val="false"/>
                <w:color w:val="000000"/>
                <w:sz w:val="20"/>
              </w:rPr>
              <w:t>
1) размеры кабины и грузоподъемность лифта обеспечивает транспортирование пожарных с оборудованием для борьбы с пожаром и (или) спасаемых при пожаре людей;</w:t>
            </w:r>
          </w:p>
          <w:p>
            <w:pPr>
              <w:spacing w:after="20"/>
              <w:ind w:left="20"/>
              <w:jc w:val="both"/>
            </w:pPr>
            <w:r>
              <w:rPr>
                <w:rFonts w:ascii="Times New Roman"/>
                <w:b w:val="false"/>
                <w:i w:val="false"/>
                <w:color w:val="000000"/>
                <w:sz w:val="20"/>
              </w:rPr>
              <w:t>
2) системы управления и сигнализация обеспечивает работу лифта под непосредственным управлением пожарных. Иные режимы управления лифтом отключаются;</w:t>
            </w:r>
          </w:p>
          <w:p>
            <w:pPr>
              <w:spacing w:after="20"/>
              <w:ind w:left="20"/>
              <w:jc w:val="both"/>
            </w:pPr>
            <w:r>
              <w:rPr>
                <w:rFonts w:ascii="Times New Roman"/>
                <w:b w:val="false"/>
                <w:i w:val="false"/>
                <w:color w:val="000000"/>
                <w:sz w:val="20"/>
              </w:rPr>
              <w:t>
3) наличие режима управления лифтом, независимо от работы лифтов, объединенных с ним системой группового управления;</w:t>
            </w:r>
          </w:p>
          <w:p>
            <w:pPr>
              <w:spacing w:after="20"/>
              <w:ind w:left="20"/>
              <w:jc w:val="both"/>
            </w:pPr>
            <w:r>
              <w:rPr>
                <w:rFonts w:ascii="Times New Roman"/>
                <w:b w:val="false"/>
                <w:i w:val="false"/>
                <w:color w:val="000000"/>
                <w:sz w:val="20"/>
              </w:rPr>
              <w:t>
4) наличие визуальной информации в кабине лифта и на основном посадочном (назначенном) этаже о местоположении кабины и направлении ее движения;</w:t>
            </w:r>
          </w:p>
          <w:p>
            <w:pPr>
              <w:spacing w:after="20"/>
              <w:ind w:left="20"/>
              <w:jc w:val="both"/>
            </w:pPr>
            <w:r>
              <w:rPr>
                <w:rFonts w:ascii="Times New Roman"/>
                <w:b w:val="false"/>
                <w:i w:val="false"/>
                <w:color w:val="000000"/>
                <w:sz w:val="20"/>
              </w:rPr>
              <w:t>
5) двери шахты лифта противопожарные, предел огнестойкости которых устанавливается в соответствии с требованиями к пожарной безопасности зданий (сооружений);</w:t>
            </w:r>
          </w:p>
          <w:p>
            <w:pPr>
              <w:spacing w:after="20"/>
              <w:ind w:left="20"/>
              <w:jc w:val="both"/>
            </w:pPr>
            <w:r>
              <w:rPr>
                <w:rFonts w:ascii="Times New Roman"/>
                <w:b w:val="false"/>
                <w:i w:val="false"/>
                <w:color w:val="000000"/>
                <w:sz w:val="20"/>
              </w:rPr>
              <w:t>
6) наличие мер и (или) средства по эвакуации пожарных из кабины, остановившейся между этажами;</w:t>
            </w:r>
          </w:p>
          <w:p>
            <w:pPr>
              <w:spacing w:after="20"/>
              <w:ind w:left="20"/>
              <w:jc w:val="both"/>
            </w:pPr>
            <w:r>
              <w:rPr>
                <w:rFonts w:ascii="Times New Roman"/>
                <w:b w:val="false"/>
                <w:i w:val="false"/>
                <w:color w:val="000000"/>
                <w:sz w:val="20"/>
              </w:rPr>
              <w:t>
7) использование в конструкции купе кабины материалов, снижающих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подключения к устройству диспетчерского контроля, выполняется нижеследующее:</w:t>
            </w:r>
          </w:p>
          <w:p>
            <w:pPr>
              <w:spacing w:after="20"/>
              <w:ind w:left="20"/>
              <w:jc w:val="both"/>
            </w:pPr>
            <w:r>
              <w:rPr>
                <w:rFonts w:ascii="Times New Roman"/>
                <w:b w:val="false"/>
                <w:i w:val="false"/>
                <w:color w:val="000000"/>
                <w:sz w:val="20"/>
              </w:rPr>
              <w:t>
1)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p>
          <w:p>
            <w:pPr>
              <w:spacing w:after="20"/>
              <w:ind w:left="20"/>
              <w:jc w:val="both"/>
            </w:pPr>
            <w:r>
              <w:rPr>
                <w:rFonts w:ascii="Times New Roman"/>
                <w:b w:val="false"/>
                <w:i w:val="false"/>
                <w:color w:val="000000"/>
                <w:sz w:val="20"/>
              </w:rPr>
              <w:t>
о срабатывании электрических цепей безопасности;</w:t>
            </w:r>
          </w:p>
          <w:p>
            <w:pPr>
              <w:spacing w:after="20"/>
              <w:ind w:left="20"/>
              <w:jc w:val="both"/>
            </w:pPr>
            <w:r>
              <w:rPr>
                <w:rFonts w:ascii="Times New Roman"/>
                <w:b w:val="false"/>
                <w:i w:val="false"/>
                <w:color w:val="000000"/>
                <w:sz w:val="20"/>
              </w:rPr>
              <w:t>
о несанкционированном открывании дверей шахты;</w:t>
            </w:r>
          </w:p>
          <w:p>
            <w:pPr>
              <w:spacing w:after="20"/>
              <w:ind w:left="20"/>
              <w:jc w:val="both"/>
            </w:pPr>
            <w:r>
              <w:rPr>
                <w:rFonts w:ascii="Times New Roman"/>
                <w:b w:val="false"/>
                <w:i w:val="false"/>
                <w:color w:val="000000"/>
                <w:sz w:val="20"/>
              </w:rPr>
              <w:t>
8) об открытии двери (крышки) устройства управления лифта без машинного помещения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установки в здании, сооружении, в котором возможно преднамеренное повреждение лифтового оборудования, выполняется нижеследующее:</w:t>
            </w:r>
          </w:p>
          <w:p>
            <w:pPr>
              <w:spacing w:after="20"/>
              <w:ind w:left="20"/>
              <w:jc w:val="both"/>
            </w:pPr>
            <w:r>
              <w:rPr>
                <w:rFonts w:ascii="Times New Roman"/>
                <w:b w:val="false"/>
                <w:i w:val="false"/>
                <w:color w:val="000000"/>
                <w:sz w:val="20"/>
              </w:rPr>
              <w:t>
1) ограждающие конструкции купе кабины, а также отделка стен, потолка и пола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2) устройства управления, сигнализации, освещения в кабине и на этажных площадках имеют конструкцию и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3) предусматриваться сплошное ограждение шахты;</w:t>
            </w:r>
          </w:p>
          <w:p>
            <w:pPr>
              <w:spacing w:after="20"/>
              <w:ind w:left="20"/>
              <w:jc w:val="both"/>
            </w:pPr>
            <w:r>
              <w:rPr>
                <w:rFonts w:ascii="Times New Roman"/>
                <w:b w:val="false"/>
                <w:i w:val="false"/>
                <w:color w:val="000000"/>
                <w:sz w:val="20"/>
              </w:rPr>
              <w:t>
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осуществляется обслуживающим персоналом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работы во взрывоопасных средах требованиям, необходимым для безопасного функционирования и эксплуатации в отношении следующего риска взрыва:</w:t>
            </w:r>
          </w:p>
          <w:p>
            <w:pPr>
              <w:spacing w:after="20"/>
              <w:ind w:left="20"/>
              <w:jc w:val="both"/>
            </w:pPr>
            <w:r>
              <w:rPr>
                <w:rFonts w:ascii="Times New Roman"/>
                <w:b w:val="false"/>
                <w:i w:val="false"/>
                <w:color w:val="000000"/>
                <w:sz w:val="20"/>
              </w:rPr>
              <w:t>
1) по предупреждению образования взрывоопасной среды, которая может создаваться за счет выделения оборудованием горючих веществ;</w:t>
            </w:r>
          </w:p>
          <w:p>
            <w:pPr>
              <w:spacing w:after="20"/>
              <w:ind w:left="20"/>
              <w:jc w:val="both"/>
            </w:pPr>
            <w:r>
              <w:rPr>
                <w:rFonts w:ascii="Times New Roman"/>
                <w:b w:val="false"/>
                <w:i w:val="false"/>
                <w:color w:val="000000"/>
                <w:sz w:val="20"/>
              </w:rPr>
              <w:t>
2) по предупреждению воспламенения взрывоопасной среды с учетом характера каждого источника инициирования взрыва;</w:t>
            </w:r>
          </w:p>
          <w:p>
            <w:pPr>
              <w:spacing w:after="20"/>
              <w:ind w:left="20"/>
              <w:jc w:val="both"/>
            </w:pPr>
            <w:r>
              <w:rPr>
                <w:rFonts w:ascii="Times New Roman"/>
                <w:b w:val="false"/>
                <w:i w:val="false"/>
                <w:color w:val="000000"/>
                <w:sz w:val="20"/>
              </w:rPr>
              <w:t>
4) в соответствии с областью применения оборудования, уровнями и видами взрывозащиты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нормального режима работы и в пределах отклонений, установленных технической документацией изготовителя, с учетом условий его применения в отношении взрывобезопасности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оборудованию для работы во взрывоопасных средах по разработке и изготовлению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нижеследующих требований безопасности:</w:t>
            </w:r>
          </w:p>
          <w:p>
            <w:pPr>
              <w:spacing w:after="20"/>
              <w:ind w:left="20"/>
              <w:jc w:val="both"/>
            </w:pPr>
            <w:r>
              <w:rPr>
                <w:rFonts w:ascii="Times New Roman"/>
                <w:b w:val="false"/>
                <w:i w:val="false"/>
                <w:color w:val="000000"/>
                <w:sz w:val="20"/>
              </w:rPr>
              <w:t>
1) оборудование обеспечивает взрывобезопасность при эксплуатации в течение всего предполагаемого (расчетного) срока службы;</w:t>
            </w:r>
          </w:p>
          <w:p>
            <w:pPr>
              <w:spacing w:after="20"/>
              <w:ind w:left="20"/>
              <w:jc w:val="both"/>
            </w:pPr>
            <w:r>
              <w:rPr>
                <w:rFonts w:ascii="Times New Roman"/>
                <w:b w:val="false"/>
                <w:i w:val="false"/>
                <w:color w:val="000000"/>
                <w:sz w:val="20"/>
              </w:rPr>
              <w:t>
2) оборудование функционирует в фактических или прогнозируемых условиях окружающей среды;</w:t>
            </w:r>
          </w:p>
          <w:p>
            <w:pPr>
              <w:spacing w:after="20"/>
              <w:ind w:left="20"/>
              <w:jc w:val="both"/>
            </w:pPr>
            <w:r>
              <w:rPr>
                <w:rFonts w:ascii="Times New Roman"/>
                <w:b w:val="false"/>
                <w:i w:val="false"/>
                <w:color w:val="000000"/>
                <w:sz w:val="20"/>
              </w:rPr>
              <w:t>
3) оборудование сохраняет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с учетом ограничений рабочих условий, установленных изготовителем.</w:t>
            </w:r>
          </w:p>
          <w:p>
            <w:pPr>
              <w:spacing w:after="20"/>
              <w:ind w:left="20"/>
              <w:jc w:val="both"/>
            </w:pPr>
            <w:r>
              <w:rPr>
                <w:rFonts w:ascii="Times New Roman"/>
                <w:b w:val="false"/>
                <w:i w:val="false"/>
                <w:color w:val="000000"/>
                <w:sz w:val="20"/>
              </w:rPr>
              <w:t>
Части оборудования рассчитываются на соответствующее механическое и тепловое воздействие и выдерживает воздействие существующих или предполагаемых агрессивных веществ;</w:t>
            </w:r>
          </w:p>
          <w:p>
            <w:pPr>
              <w:spacing w:after="20"/>
              <w:ind w:left="20"/>
              <w:jc w:val="both"/>
            </w:pPr>
            <w:r>
              <w:rPr>
                <w:rFonts w:ascii="Times New Roman"/>
                <w:b w:val="false"/>
                <w:i w:val="false"/>
                <w:color w:val="000000"/>
                <w:sz w:val="20"/>
              </w:rPr>
              <w:t>
4) если оборудование содержит части, которые бывают источниками воспламенения, оно открывается в выключенном состоянии, содержать только искробезопасные цепи, или иметь защиту от прикасания персонала и предупредительные надписи;</w:t>
            </w:r>
          </w:p>
          <w:p>
            <w:pPr>
              <w:spacing w:after="20"/>
              <w:ind w:left="20"/>
              <w:jc w:val="both"/>
            </w:pPr>
            <w:r>
              <w:rPr>
                <w:rFonts w:ascii="Times New Roman"/>
                <w:b w:val="false"/>
                <w:i w:val="false"/>
                <w:color w:val="000000"/>
                <w:sz w:val="20"/>
              </w:rPr>
              <w:t>
5) при наличии в оболочках накопителей электрического заряда (конденсаторов) и нагретых элементов, которые бывают источниками воспламенения, оболочки открываются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w:t>
            </w:r>
          </w:p>
          <w:p>
            <w:pPr>
              <w:spacing w:after="20"/>
              <w:ind w:left="20"/>
              <w:jc w:val="both"/>
            </w:pPr>
            <w:r>
              <w:rPr>
                <w:rFonts w:ascii="Times New Roman"/>
                <w:b w:val="false"/>
                <w:i w:val="false"/>
                <w:color w:val="000000"/>
                <w:sz w:val="20"/>
              </w:rPr>
              <w:t>
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наносит на открывающиеся части оборудования предупредительную надпись;</w:t>
            </w:r>
          </w:p>
          <w:p>
            <w:pPr>
              <w:spacing w:after="20"/>
              <w:ind w:left="20"/>
              <w:jc w:val="both"/>
            </w:pPr>
            <w:r>
              <w:rPr>
                <w:rFonts w:ascii="Times New Roman"/>
                <w:b w:val="false"/>
                <w:i w:val="false"/>
                <w:color w:val="000000"/>
                <w:sz w:val="20"/>
              </w:rPr>
              <w:t>
6) температура поверхности оборудования с уровнем взрывозащиты "особовзрывобезопасный" ("очень высокий") и "взрывобезопасный" ("высокий") и (или) его частей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pPr>
              <w:spacing w:after="20"/>
              <w:ind w:left="20"/>
              <w:jc w:val="both"/>
            </w:pPr>
            <w:r>
              <w:rPr>
                <w:rFonts w:ascii="Times New Roman"/>
                <w:b w:val="false"/>
                <w:i w:val="false"/>
                <w:color w:val="000000"/>
                <w:sz w:val="20"/>
              </w:rPr>
              <w:t>
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когда изготовитель принимает дополнительные меры по защите указанного оборудования.</w:t>
            </w:r>
          </w:p>
          <w:p>
            <w:pPr>
              <w:spacing w:after="20"/>
              <w:ind w:left="20"/>
              <w:jc w:val="both"/>
            </w:pPr>
            <w:r>
              <w:rPr>
                <w:rFonts w:ascii="Times New Roman"/>
                <w:b w:val="false"/>
                <w:i w:val="false"/>
                <w:color w:val="000000"/>
                <w:sz w:val="20"/>
              </w:rPr>
              <w:t>
7) температура поверхности оборудования с уровнем взрывозащиты "повышенная надежность против взрыва" ("повышенный") не выше максимальной температуры поверхности в нормальном режиме эксплуатации.</w:t>
            </w:r>
          </w:p>
          <w:p>
            <w:pPr>
              <w:spacing w:after="20"/>
              <w:ind w:left="20"/>
              <w:jc w:val="both"/>
            </w:pPr>
            <w:r>
              <w:rPr>
                <w:rFonts w:ascii="Times New Roman"/>
                <w:b w:val="false"/>
                <w:i w:val="false"/>
                <w:color w:val="000000"/>
                <w:sz w:val="20"/>
              </w:rPr>
              <w:t>
Конструкция такого оборудования не имеет частей, способных к искрообразованию, воспламеняющему окружающую взрывоопасную среду;</w:t>
            </w:r>
          </w:p>
          <w:p>
            <w:pPr>
              <w:spacing w:after="20"/>
              <w:ind w:left="20"/>
              <w:jc w:val="both"/>
            </w:pPr>
            <w:r>
              <w:rPr>
                <w:rFonts w:ascii="Times New Roman"/>
                <w:b w:val="false"/>
                <w:i w:val="false"/>
                <w:color w:val="000000"/>
                <w:sz w:val="20"/>
              </w:rPr>
              <w:t>
8) оборудование группы I пылезащищенное и предотвращает опасность воспламенения угольной пыли;</w:t>
            </w:r>
          </w:p>
          <w:p>
            <w:pPr>
              <w:spacing w:after="20"/>
              <w:ind w:left="20"/>
              <w:jc w:val="both"/>
            </w:pPr>
            <w:r>
              <w:rPr>
                <w:rFonts w:ascii="Times New Roman"/>
                <w:b w:val="false"/>
                <w:i w:val="false"/>
                <w:color w:val="000000"/>
                <w:sz w:val="20"/>
              </w:rPr>
              <w:t>
9) в оборудовании группы III, включая кабельные вводы и соединения, пыль (с учетом размера ее частиц) без образования взрывоопасных смесей с воздухом или опасных скоплений внутри оборудования;</w:t>
            </w:r>
          </w:p>
          <w:p>
            <w:pPr>
              <w:spacing w:after="20"/>
              <w:ind w:left="20"/>
              <w:jc w:val="both"/>
            </w:pPr>
            <w:r>
              <w:rPr>
                <w:rFonts w:ascii="Times New Roman"/>
                <w:b w:val="false"/>
                <w:i w:val="false"/>
                <w:color w:val="000000"/>
                <w:sz w:val="20"/>
              </w:rPr>
              <w:t>
10) оборудование, которое может выделять горючие газы или пыль, имеет закрытые конструкции. Имеющиеся в оборудовании отверстия или негерметичные соединения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проектируются и оборудуются так, чтобы ограничить выход горючих материалов во время заполнения или слива;</w:t>
            </w:r>
          </w:p>
          <w:p>
            <w:pPr>
              <w:spacing w:after="20"/>
              <w:ind w:left="20"/>
              <w:jc w:val="both"/>
            </w:pPr>
            <w:r>
              <w:rPr>
                <w:rFonts w:ascii="Times New Roman"/>
                <w:b w:val="false"/>
                <w:i w:val="false"/>
                <w:color w:val="000000"/>
                <w:sz w:val="20"/>
              </w:rPr>
              <w:t>
11) оборудование, предназначенное для применения на объектах и (или) их участках с присутствием пыли, проектируется так, чтобы пыль, осевшая на его поверхности, не воспламенялась. Отложения пыли ограничивается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ниже температуры самовоспламенения слоя пыли. При этом предусматриваются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pPr>
              <w:spacing w:after="20"/>
              <w:ind w:left="20"/>
              <w:jc w:val="both"/>
            </w:pPr>
            <w:r>
              <w:rPr>
                <w:rFonts w:ascii="Times New Roman"/>
                <w:b w:val="false"/>
                <w:i w:val="false"/>
                <w:color w:val="000000"/>
                <w:sz w:val="20"/>
              </w:rPr>
              <w:t>
12)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pPr>
              <w:spacing w:after="20"/>
              <w:ind w:left="20"/>
              <w:jc w:val="both"/>
            </w:pPr>
            <w:r>
              <w:rPr>
                <w:rFonts w:ascii="Times New Roman"/>
                <w:b w:val="false"/>
                <w:i w:val="false"/>
                <w:color w:val="000000"/>
                <w:sz w:val="20"/>
              </w:rPr>
              <w:t>
13) при аварийном отключении оборудования аккумулированная энергия рассеиваться до безопасного значения за время, указанное на предупредительных табличках, размещенных на открываемых крышках;</w:t>
            </w:r>
          </w:p>
          <w:p>
            <w:pPr>
              <w:spacing w:after="20"/>
              <w:ind w:left="20"/>
              <w:jc w:val="both"/>
            </w:pPr>
            <w:r>
              <w:rPr>
                <w:rFonts w:ascii="Times New Roman"/>
                <w:b w:val="false"/>
                <w:i w:val="false"/>
                <w:color w:val="000000"/>
                <w:sz w:val="20"/>
              </w:rPr>
              <w:t>
14) оборудование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безопасным;</w:t>
            </w:r>
          </w:p>
          <w:p>
            <w:pPr>
              <w:spacing w:after="20"/>
              <w:ind w:left="20"/>
              <w:jc w:val="both"/>
            </w:pPr>
            <w:r>
              <w:rPr>
                <w:rFonts w:ascii="Times New Roman"/>
                <w:b w:val="false"/>
                <w:i w:val="false"/>
                <w:color w:val="000000"/>
                <w:sz w:val="20"/>
              </w:rPr>
              <w:t>
15) если оборудование имеет устройства обнаружения или предупредительной сигнализации для контроля взрывоопасной среды, места и условия их размещения предусматриваться в технической документации изготовителя;</w:t>
            </w:r>
          </w:p>
          <w:p>
            <w:pPr>
              <w:spacing w:after="20"/>
              <w:ind w:left="20"/>
              <w:jc w:val="both"/>
            </w:pPr>
            <w:r>
              <w:rPr>
                <w:rFonts w:ascii="Times New Roman"/>
                <w:b w:val="false"/>
                <w:i w:val="false"/>
                <w:color w:val="000000"/>
                <w:sz w:val="20"/>
              </w:rPr>
              <w:t>
16) оборудование не содержать материалы, способные выделять горючие вещества, создающие взрывоопасную среду;</w:t>
            </w:r>
          </w:p>
          <w:p>
            <w:pPr>
              <w:spacing w:after="20"/>
              <w:ind w:left="20"/>
              <w:jc w:val="both"/>
            </w:pPr>
            <w:r>
              <w:rPr>
                <w:rFonts w:ascii="Times New Roman"/>
                <w:b w:val="false"/>
                <w:i w:val="false"/>
                <w:color w:val="000000"/>
                <w:sz w:val="20"/>
              </w:rPr>
              <w:t>
17) в пределах рабочих условий, установленных в технической документации изготовителя,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pPr>
              <w:spacing w:after="20"/>
              <w:ind w:left="20"/>
              <w:jc w:val="both"/>
            </w:pPr>
            <w:r>
              <w:rPr>
                <w:rFonts w:ascii="Times New Roman"/>
                <w:b w:val="false"/>
                <w:i w:val="false"/>
                <w:color w:val="000000"/>
                <w:sz w:val="20"/>
              </w:rPr>
              <w:t>
18) оборудование не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pPr>
              <w:spacing w:after="20"/>
              <w:ind w:left="20"/>
              <w:jc w:val="both"/>
            </w:pPr>
            <w:r>
              <w:rPr>
                <w:rFonts w:ascii="Times New Roman"/>
                <w:b w:val="false"/>
                <w:i w:val="false"/>
                <w:color w:val="000000"/>
                <w:sz w:val="20"/>
              </w:rPr>
              <w:t>
19) Ex-компоненты, устанавливаемые в оборудовании или используемые для замены деталей оборудования и систем защиты,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pPr>
              <w:spacing w:after="20"/>
              <w:ind w:left="20"/>
              <w:jc w:val="both"/>
            </w:pPr>
            <w:r>
              <w:rPr>
                <w:rFonts w:ascii="Times New Roman"/>
                <w:b w:val="false"/>
                <w:i w:val="false"/>
                <w:color w:val="000000"/>
                <w:sz w:val="20"/>
              </w:rPr>
              <w:t>
20) оборудование, которое может подвергаться внешним воздействиям, обеспечиваться дополнительными средствами защиты. Оборудование выдерживать внешние воздействия без нарушения его взрывозащиты;</w:t>
            </w:r>
          </w:p>
          <w:p>
            <w:pPr>
              <w:spacing w:after="20"/>
              <w:ind w:left="20"/>
              <w:jc w:val="both"/>
            </w:pPr>
            <w:r>
              <w:rPr>
                <w:rFonts w:ascii="Times New Roman"/>
                <w:b w:val="false"/>
                <w:i w:val="false"/>
                <w:color w:val="000000"/>
                <w:sz w:val="20"/>
              </w:rPr>
              <w:t>
21) если оборудование находится в корпусе или закрытом контейнере, которые являются частью вида взрывозащиты, такой корпус или контейнер открываться только с помощью специального инструмента или с применением соответствующих мер защиты;</w:t>
            </w:r>
          </w:p>
          <w:p>
            <w:pPr>
              <w:spacing w:after="20"/>
              <w:ind w:left="20"/>
              <w:jc w:val="both"/>
            </w:pPr>
            <w:r>
              <w:rPr>
                <w:rFonts w:ascii="Times New Roman"/>
                <w:b w:val="false"/>
                <w:i w:val="false"/>
                <w:color w:val="000000"/>
                <w:sz w:val="20"/>
              </w:rPr>
              <w:t>
22) для предотвращения опасной перегрузки оборудования,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оборудования для работы во взрывоопасных средах обеспечению защиты от следующих потенциальных источников воспламенения:</w:t>
            </w:r>
          </w:p>
          <w:p>
            <w:pPr>
              <w:spacing w:after="20"/>
              <w:ind w:left="20"/>
              <w:jc w:val="both"/>
            </w:pPr>
            <w:r>
              <w:rPr>
                <w:rFonts w:ascii="Times New Roman"/>
                <w:b w:val="false"/>
                <w:i w:val="false"/>
                <w:color w:val="000000"/>
                <w:sz w:val="20"/>
              </w:rPr>
              <w:t>
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pPr>
              <w:spacing w:after="20"/>
              <w:ind w:left="20"/>
              <w:jc w:val="both"/>
            </w:pPr>
            <w:r>
              <w:rPr>
                <w:rFonts w:ascii="Times New Roman"/>
                <w:b w:val="false"/>
                <w:i w:val="false"/>
                <w:color w:val="000000"/>
                <w:sz w:val="20"/>
              </w:rPr>
              <w:t>
2) статическое электричество (электростатические заряды, способные вызвать опасные разряды);</w:t>
            </w:r>
          </w:p>
          <w:p>
            <w:pPr>
              <w:spacing w:after="20"/>
              <w:ind w:left="20"/>
              <w:jc w:val="both"/>
            </w:pPr>
            <w:r>
              <w:rPr>
                <w:rFonts w:ascii="Times New Roman"/>
                <w:b w:val="false"/>
                <w:i w:val="false"/>
                <w:color w:val="000000"/>
                <w:sz w:val="20"/>
              </w:rPr>
              <w:t>
3) блуждающие токи и токи утечки, которые приводят к появлению опасной коррозии, искр и перегреву поверхностей и создают, таким образом, возможность воспламенения;</w:t>
            </w:r>
          </w:p>
          <w:p>
            <w:pPr>
              <w:spacing w:after="20"/>
              <w:ind w:left="20"/>
              <w:jc w:val="both"/>
            </w:pPr>
            <w:r>
              <w:rPr>
                <w:rFonts w:ascii="Times New Roman"/>
                <w:b w:val="false"/>
                <w:i w:val="false"/>
                <w:color w:val="000000"/>
                <w:sz w:val="20"/>
              </w:rPr>
              <w:t>
4) перегрев в результате трения и ударов, который возникает между материалами и частями, соприкасающимися друг с другом при вращении и проникновении посторонних предметов;</w:t>
            </w:r>
          </w:p>
          <w:p>
            <w:pPr>
              <w:spacing w:after="20"/>
              <w:ind w:left="20"/>
              <w:jc w:val="both"/>
            </w:pPr>
            <w:r>
              <w:rPr>
                <w:rFonts w:ascii="Times New Roman"/>
                <w:b w:val="false"/>
                <w:i w:val="false"/>
                <w:color w:val="000000"/>
                <w:sz w:val="20"/>
              </w:rPr>
              <w:t>
5) компенсация давления, которая осуществляется регулирующими устройствами влекущие ударные волны и сжатия, приводящие к воспламенению;</w:t>
            </w:r>
          </w:p>
          <w:p>
            <w:pPr>
              <w:spacing w:after="20"/>
              <w:ind w:left="20"/>
              <w:jc w:val="both"/>
            </w:pPr>
            <w:r>
              <w:rPr>
                <w:rFonts w:ascii="Times New Roman"/>
                <w:b w:val="false"/>
                <w:i w:val="false"/>
                <w:color w:val="000000"/>
                <w:sz w:val="20"/>
              </w:rPr>
              <w:t>
6) удары молнии;</w:t>
            </w:r>
          </w:p>
          <w:p>
            <w:pPr>
              <w:spacing w:after="20"/>
              <w:ind w:left="20"/>
              <w:jc w:val="both"/>
            </w:pPr>
            <w:r>
              <w:rPr>
                <w:rFonts w:ascii="Times New Roman"/>
                <w:b w:val="false"/>
                <w:i w:val="false"/>
                <w:color w:val="000000"/>
                <w:sz w:val="20"/>
              </w:rPr>
              <w:t>
7) экзотермические реакции, включая самовоспламенение пыли.</w:t>
            </w:r>
          </w:p>
          <w:p>
            <w:pPr>
              <w:spacing w:after="20"/>
              <w:ind w:left="20"/>
              <w:jc w:val="both"/>
            </w:pPr>
            <w:r>
              <w:rPr>
                <w:rFonts w:ascii="Times New Roman"/>
                <w:b w:val="false"/>
                <w:i w:val="false"/>
                <w:color w:val="000000"/>
                <w:sz w:val="20"/>
              </w:rPr>
              <w:t>
При этом принимаются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выбраны способы обеспечения взрывозащиты (виды взрывозащиты) оборудования для его применения во взрывоопасных средах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обеспечивающих защиту оборудования для работы во взрывоопасных средах при аварийных режимах, нижеследующему:</w:t>
            </w:r>
          </w:p>
          <w:p>
            <w:pPr>
              <w:spacing w:after="20"/>
              <w:ind w:left="20"/>
              <w:jc w:val="both"/>
            </w:pPr>
            <w:r>
              <w:rPr>
                <w:rFonts w:ascii="Times New Roman"/>
                <w:b w:val="false"/>
                <w:i w:val="false"/>
                <w:color w:val="000000"/>
                <w:sz w:val="20"/>
              </w:rPr>
              <w:t>
1) защитные устройства функционировать независимо от любого необходимого для работы измерительного или контрольного устройства. Отказ защитного устройства обнаруживаться с помощью технических средств, предусмотренных технической документацией;</w:t>
            </w:r>
          </w:p>
          <w:p>
            <w:pPr>
              <w:spacing w:after="20"/>
              <w:ind w:left="20"/>
              <w:jc w:val="both"/>
            </w:pPr>
            <w:r>
              <w:rPr>
                <w:rFonts w:ascii="Times New Roman"/>
                <w:b w:val="false"/>
                <w:i w:val="false"/>
                <w:color w:val="000000"/>
                <w:sz w:val="20"/>
              </w:rPr>
              <w:t>
2) аварийное выключение непосредственно приводить в действие соответствующие устройства управления без промежуточной команды программного обеспечения;</w:t>
            </w:r>
          </w:p>
          <w:p>
            <w:pPr>
              <w:spacing w:after="20"/>
              <w:ind w:left="20"/>
              <w:jc w:val="both"/>
            </w:pPr>
            <w:r>
              <w:rPr>
                <w:rFonts w:ascii="Times New Roman"/>
                <w:b w:val="false"/>
                <w:i w:val="false"/>
                <w:color w:val="000000"/>
                <w:sz w:val="20"/>
              </w:rPr>
              <w:t>
3) аварийные средства управления защитных устройств оборудоваться механизмами,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p>
            <w:pPr>
              <w:spacing w:after="20"/>
              <w:ind w:left="20"/>
              <w:jc w:val="both"/>
            </w:pPr>
            <w:r>
              <w:rPr>
                <w:rFonts w:ascii="Times New Roman"/>
                <w:b w:val="false"/>
                <w:i w:val="false"/>
                <w:color w:val="000000"/>
                <w:sz w:val="20"/>
              </w:rPr>
              <w:t>
4) применяемые устройства управления и индикаторы проектироваться с целью обеспечения максимально возможного уровня эксплуатационной безопасности в отношении риска взрыва;</w:t>
            </w:r>
          </w:p>
          <w:p>
            <w:pPr>
              <w:spacing w:after="20"/>
              <w:ind w:left="20"/>
              <w:jc w:val="both"/>
            </w:pPr>
            <w:r>
              <w:rPr>
                <w:rFonts w:ascii="Times New Roman"/>
                <w:b w:val="false"/>
                <w:i w:val="false"/>
                <w:color w:val="000000"/>
                <w:sz w:val="20"/>
              </w:rPr>
              <w:t>
5) устройства с измерительной функцией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pPr>
              <w:spacing w:after="20"/>
              <w:ind w:left="20"/>
              <w:jc w:val="both"/>
            </w:pPr>
            <w:r>
              <w:rPr>
                <w:rFonts w:ascii="Times New Roman"/>
                <w:b w:val="false"/>
                <w:i w:val="false"/>
                <w:color w:val="000000"/>
                <w:sz w:val="20"/>
              </w:rPr>
              <w:t>
6) обеспечиваться возможность проверки точности показаний и функционирования устройств с измерительной функцией;</w:t>
            </w:r>
          </w:p>
          <w:p>
            <w:pPr>
              <w:spacing w:after="20"/>
              <w:ind w:left="20"/>
              <w:jc w:val="both"/>
            </w:pPr>
            <w:r>
              <w:rPr>
                <w:rFonts w:ascii="Times New Roman"/>
                <w:b w:val="false"/>
                <w:i w:val="false"/>
                <w:color w:val="000000"/>
                <w:sz w:val="20"/>
              </w:rPr>
              <w:t>
7) аварийный порог потенциального источника воспламенения устройств с измерительной функцией находиться ниже предельных условий возникновения взрыва 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pPr>
              <w:spacing w:after="20"/>
              <w:ind w:left="20"/>
              <w:jc w:val="both"/>
            </w:pPr>
            <w:r>
              <w:rPr>
                <w:rFonts w:ascii="Times New Roman"/>
                <w:b w:val="false"/>
                <w:i w:val="false"/>
                <w:color w:val="000000"/>
                <w:sz w:val="20"/>
              </w:rPr>
              <w:t>
8) программное обеспечение управляемого им оборудования учитывать риски, связанные с ошибками в программе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изготовителя оборудования для работы во взрывоопасных средах, включающее:</w:t>
            </w:r>
          </w:p>
          <w:p>
            <w:pPr>
              <w:spacing w:after="20"/>
              <w:ind w:left="20"/>
              <w:jc w:val="both"/>
            </w:pPr>
            <w:r>
              <w:rPr>
                <w:rFonts w:ascii="Times New Roman"/>
                <w:b w:val="false"/>
                <w:i w:val="false"/>
                <w:color w:val="000000"/>
                <w:sz w:val="20"/>
              </w:rPr>
              <w:t>
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pPr>
              <w:spacing w:after="20"/>
              <w:ind w:left="20"/>
              <w:jc w:val="both"/>
            </w:pPr>
            <w:r>
              <w:rPr>
                <w:rFonts w:ascii="Times New Roman"/>
                <w:b w:val="false"/>
                <w:i w:val="false"/>
                <w:color w:val="000000"/>
                <w:sz w:val="20"/>
              </w:rPr>
              <w:t>
2) информацию о его назначении;</w:t>
            </w:r>
          </w:p>
          <w:p>
            <w:pPr>
              <w:spacing w:after="20"/>
              <w:ind w:left="20"/>
              <w:jc w:val="both"/>
            </w:pPr>
            <w:r>
              <w:rPr>
                <w:rFonts w:ascii="Times New Roman"/>
                <w:b w:val="false"/>
                <w:i w:val="false"/>
                <w:color w:val="000000"/>
                <w:sz w:val="20"/>
              </w:rPr>
              <w:t>
3) указания по монтажу, сборке, наладке или регулировке;</w:t>
            </w:r>
          </w:p>
          <w:p>
            <w:pPr>
              <w:spacing w:after="20"/>
              <w:ind w:left="20"/>
              <w:jc w:val="both"/>
            </w:pPr>
            <w:r>
              <w:rPr>
                <w:rFonts w:ascii="Times New Roman"/>
                <w:b w:val="false"/>
                <w:i w:val="false"/>
                <w:color w:val="000000"/>
                <w:sz w:val="20"/>
              </w:rPr>
              <w:t>
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pPr>
              <w:spacing w:after="20"/>
              <w:ind w:left="20"/>
              <w:jc w:val="both"/>
            </w:pPr>
            <w:r>
              <w:rPr>
                <w:rFonts w:ascii="Times New Roman"/>
                <w:b w:val="false"/>
                <w:i w:val="false"/>
                <w:color w:val="000000"/>
                <w:sz w:val="20"/>
              </w:rPr>
              <w:t>
5) назначенные показатели срока службы и (или) назначенный ресурс;</w:t>
            </w:r>
          </w:p>
          <w:p>
            <w:pPr>
              <w:spacing w:after="20"/>
              <w:ind w:left="20"/>
              <w:jc w:val="both"/>
            </w:pPr>
            <w:r>
              <w:rPr>
                <w:rFonts w:ascii="Times New Roman"/>
                <w:b w:val="false"/>
                <w:i w:val="false"/>
                <w:color w:val="000000"/>
                <w:sz w:val="20"/>
              </w:rPr>
              <w:t>
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pPr>
              <w:spacing w:after="20"/>
              <w:ind w:left="20"/>
              <w:jc w:val="both"/>
            </w:pPr>
            <w:r>
              <w:rPr>
                <w:rFonts w:ascii="Times New Roman"/>
                <w:b w:val="false"/>
                <w:i w:val="false"/>
                <w:color w:val="000000"/>
                <w:sz w:val="20"/>
              </w:rPr>
              <w:t>
7) параметры предельных состояний;</w:t>
            </w:r>
          </w:p>
          <w:p>
            <w:pPr>
              <w:spacing w:after="20"/>
              <w:ind w:left="20"/>
              <w:jc w:val="both"/>
            </w:pPr>
            <w:r>
              <w:rPr>
                <w:rFonts w:ascii="Times New Roman"/>
                <w:b w:val="false"/>
                <w:i w:val="false"/>
                <w:color w:val="000000"/>
                <w:sz w:val="20"/>
              </w:rPr>
              <w:t>
8) информацию о мерах, которые следует предпринять при обнаружении неисправности этого оборудования;</w:t>
            </w:r>
          </w:p>
          <w:p>
            <w:pPr>
              <w:spacing w:after="20"/>
              <w:ind w:left="20"/>
              <w:jc w:val="both"/>
            </w:pPr>
            <w:r>
              <w:rPr>
                <w:rFonts w:ascii="Times New Roman"/>
                <w:b w:val="false"/>
                <w:i w:val="false"/>
                <w:color w:val="000000"/>
                <w:sz w:val="20"/>
              </w:rPr>
              <w:t>
9) информацию о необходимости доукомплектования дополнительными элементами (кабельными вводами);</w:t>
            </w:r>
          </w:p>
          <w:p>
            <w:pPr>
              <w:spacing w:after="20"/>
              <w:ind w:left="20"/>
              <w:jc w:val="both"/>
            </w:pPr>
            <w:r>
              <w:rPr>
                <w:rFonts w:ascii="Times New Roman"/>
                <w:b w:val="false"/>
                <w:i w:val="false"/>
                <w:color w:val="000000"/>
                <w:sz w:val="20"/>
              </w:rPr>
              <w:t>
10) требования к обеспечению сохранения технических характеристик оборудования, обуславливающих его взрывобезопасность;</w:t>
            </w:r>
          </w:p>
          <w:p>
            <w:pPr>
              <w:spacing w:after="20"/>
              <w:ind w:left="20"/>
              <w:jc w:val="both"/>
            </w:pPr>
            <w:r>
              <w:rPr>
                <w:rFonts w:ascii="Times New Roman"/>
                <w:b w:val="false"/>
                <w:i w:val="false"/>
                <w:color w:val="000000"/>
                <w:sz w:val="20"/>
              </w:rPr>
              <w:t>
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pPr>
              <w:spacing w:after="20"/>
              <w:ind w:left="20"/>
              <w:jc w:val="both"/>
            </w:pPr>
            <w:r>
              <w:rPr>
                <w:rFonts w:ascii="Times New Roman"/>
                <w:b w:val="false"/>
                <w:i w:val="false"/>
                <w:color w:val="000000"/>
                <w:sz w:val="20"/>
              </w:rPr>
              <w:t>
12) требования к утилизации оборудования;</w:t>
            </w:r>
          </w:p>
          <w:p>
            <w:pPr>
              <w:spacing w:after="20"/>
              <w:ind w:left="20"/>
              <w:jc w:val="both"/>
            </w:pPr>
            <w:r>
              <w:rPr>
                <w:rFonts w:ascii="Times New Roman"/>
                <w:b w:val="false"/>
                <w:i w:val="false"/>
                <w:color w:val="000000"/>
                <w:sz w:val="20"/>
              </w:rPr>
              <w:t>
13) правила и условия хранения, перевозки и утилизации (при необходимости - установление требований к ним);</w:t>
            </w:r>
          </w:p>
          <w:p>
            <w:pPr>
              <w:spacing w:after="20"/>
              <w:ind w:left="20"/>
              <w:jc w:val="both"/>
            </w:pPr>
            <w:r>
              <w:rPr>
                <w:rFonts w:ascii="Times New Roman"/>
                <w:b w:val="false"/>
                <w:i w:val="false"/>
                <w:color w:val="000000"/>
                <w:sz w:val="20"/>
              </w:rPr>
              <w:t>
14) требования к персоналу;</w:t>
            </w:r>
          </w:p>
          <w:p>
            <w:pPr>
              <w:spacing w:after="20"/>
              <w:ind w:left="20"/>
              <w:jc w:val="both"/>
            </w:pPr>
            <w:r>
              <w:rPr>
                <w:rFonts w:ascii="Times New Roman"/>
                <w:b w:val="false"/>
                <w:i w:val="false"/>
                <w:color w:val="000000"/>
                <w:sz w:val="20"/>
              </w:rPr>
              <w:t>
15) местонахождение изготовителя, информацию для связи с ним;</w:t>
            </w:r>
          </w:p>
          <w:p>
            <w:pPr>
              <w:spacing w:after="20"/>
              <w:ind w:left="20"/>
              <w:jc w:val="both"/>
            </w:pPr>
            <w:r>
              <w:rPr>
                <w:rFonts w:ascii="Times New Roman"/>
                <w:b w:val="false"/>
                <w:i w:val="false"/>
                <w:color w:val="000000"/>
                <w:sz w:val="20"/>
              </w:rPr>
              <w:t>
16) наименование и местонахождение уполномоченного изготовителем лица, импортера, информацию для связи с ним;</w:t>
            </w:r>
          </w:p>
          <w:p>
            <w:pPr>
              <w:spacing w:after="20"/>
              <w:ind w:left="20"/>
              <w:jc w:val="both"/>
            </w:pPr>
            <w:r>
              <w:rPr>
                <w:rFonts w:ascii="Times New Roman"/>
                <w:b w:val="false"/>
                <w:i w:val="false"/>
                <w:color w:val="000000"/>
                <w:sz w:val="20"/>
              </w:rPr>
              <w:t>
17) дату изготовления.</w:t>
            </w:r>
          </w:p>
          <w:p>
            <w:pPr>
              <w:spacing w:after="20"/>
              <w:ind w:left="20"/>
              <w:jc w:val="both"/>
            </w:pPr>
            <w:r>
              <w:rPr>
                <w:rFonts w:ascii="Times New Roman"/>
                <w:b w:val="false"/>
                <w:i w:val="false"/>
                <w:color w:val="000000"/>
                <w:sz w:val="20"/>
              </w:rPr>
              <w:t>
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оборудовании для работы во взрывоопасных средах маркировки, включающее следующее:</w:t>
            </w:r>
          </w:p>
          <w:p>
            <w:pPr>
              <w:spacing w:after="20"/>
              <w:ind w:left="20"/>
              <w:jc w:val="both"/>
            </w:pPr>
            <w:r>
              <w:rPr>
                <w:rFonts w:ascii="Times New Roman"/>
                <w:b w:val="false"/>
                <w:i w:val="false"/>
                <w:color w:val="000000"/>
                <w:sz w:val="20"/>
              </w:rPr>
              <w:t>
1) наименование изготовителя или его зарегистрированный товарный знак;</w:t>
            </w:r>
          </w:p>
          <w:p>
            <w:pPr>
              <w:spacing w:after="20"/>
              <w:ind w:left="20"/>
              <w:jc w:val="both"/>
            </w:pPr>
            <w:r>
              <w:rPr>
                <w:rFonts w:ascii="Times New Roman"/>
                <w:b w:val="false"/>
                <w:i w:val="false"/>
                <w:color w:val="000000"/>
                <w:sz w:val="20"/>
              </w:rPr>
              <w:t>
2) обозначение типа оборудования;</w:t>
            </w:r>
          </w:p>
          <w:p>
            <w:pPr>
              <w:spacing w:after="20"/>
              <w:ind w:left="20"/>
              <w:jc w:val="both"/>
            </w:pPr>
            <w:r>
              <w:rPr>
                <w:rFonts w:ascii="Times New Roman"/>
                <w:b w:val="false"/>
                <w:i w:val="false"/>
                <w:color w:val="000000"/>
                <w:sz w:val="20"/>
              </w:rPr>
              <w:t>
3) заводской номер;</w:t>
            </w:r>
          </w:p>
          <w:p>
            <w:pPr>
              <w:spacing w:after="20"/>
              <w:ind w:left="20"/>
              <w:jc w:val="both"/>
            </w:pPr>
            <w:r>
              <w:rPr>
                <w:rFonts w:ascii="Times New Roman"/>
                <w:b w:val="false"/>
                <w:i w:val="false"/>
                <w:color w:val="000000"/>
                <w:sz w:val="20"/>
              </w:rPr>
              <w:t>
4) номер сертификата соответствия;</w:t>
            </w:r>
          </w:p>
          <w:p>
            <w:pPr>
              <w:spacing w:after="20"/>
              <w:ind w:left="20"/>
              <w:jc w:val="both"/>
            </w:pPr>
            <w:r>
              <w:rPr>
                <w:rFonts w:ascii="Times New Roman"/>
                <w:b w:val="false"/>
                <w:i w:val="false"/>
                <w:color w:val="000000"/>
                <w:sz w:val="20"/>
              </w:rPr>
              <w:t>
5) маркировку взрывозащиты. Изображение специального знака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технической документации изготовителя оборудования для работы во взрывоопасных средах на русском языке и на государственном языке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нанесению на поверхность или табличку оборудования для работы во взрывоопасных средах, доступных для осмотра без разборки и применения инструмента, со свойством сохраняться в течение всего срока службы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информации на маркировке оборудования для работы во взрывоопасных средах, в соответствии с решением изготовителя или в соответствии с контрактом (договором) поставки, которая имеет значение для его безопасного применения, в том числе:</w:t>
            </w:r>
          </w:p>
          <w:p>
            <w:pPr>
              <w:spacing w:after="20"/>
              <w:ind w:left="20"/>
              <w:jc w:val="both"/>
            </w:pPr>
            <w:r>
              <w:rPr>
                <w:rFonts w:ascii="Times New Roman"/>
                <w:b w:val="false"/>
                <w:i w:val="false"/>
                <w:color w:val="000000"/>
                <w:sz w:val="20"/>
              </w:rPr>
              <w:t>
1) номинальное напряжение или диапазон номинальных напряжений;</w:t>
            </w:r>
          </w:p>
          <w:p>
            <w:pPr>
              <w:spacing w:after="20"/>
              <w:ind w:left="20"/>
              <w:jc w:val="both"/>
            </w:pPr>
            <w:r>
              <w:rPr>
                <w:rFonts w:ascii="Times New Roman"/>
                <w:b w:val="false"/>
                <w:i w:val="false"/>
                <w:color w:val="000000"/>
                <w:sz w:val="20"/>
              </w:rPr>
              <w:t>
2) длительно допустимое рабочее напряжение;</w:t>
            </w:r>
          </w:p>
          <w:p>
            <w:pPr>
              <w:spacing w:after="20"/>
              <w:ind w:left="20"/>
              <w:jc w:val="both"/>
            </w:pPr>
            <w:r>
              <w:rPr>
                <w:rFonts w:ascii="Times New Roman"/>
                <w:b w:val="false"/>
                <w:i w:val="false"/>
                <w:color w:val="000000"/>
                <w:sz w:val="20"/>
              </w:rPr>
              <w:t>
3) условное обозначение рода тока (если не указана номинальная частота);</w:t>
            </w:r>
          </w:p>
          <w:p>
            <w:pPr>
              <w:spacing w:after="20"/>
              <w:ind w:left="20"/>
              <w:jc w:val="both"/>
            </w:pPr>
            <w:r>
              <w:rPr>
                <w:rFonts w:ascii="Times New Roman"/>
                <w:b w:val="false"/>
                <w:i w:val="false"/>
                <w:color w:val="000000"/>
                <w:sz w:val="20"/>
              </w:rPr>
              <w:t>
4) условное обозначение класса защиты от поражения человека электрическим током;</w:t>
            </w:r>
          </w:p>
          <w:p>
            <w:pPr>
              <w:spacing w:after="20"/>
              <w:ind w:left="20"/>
              <w:jc w:val="both"/>
            </w:pPr>
            <w:r>
              <w:rPr>
                <w:rFonts w:ascii="Times New Roman"/>
                <w:b w:val="false"/>
                <w:i w:val="false"/>
                <w:color w:val="000000"/>
                <w:sz w:val="20"/>
              </w:rPr>
              <w:t>
5) степень защиты, обеспечиваемая оболочкой;</w:t>
            </w:r>
          </w:p>
          <w:p>
            <w:pPr>
              <w:spacing w:after="20"/>
              <w:ind w:left="20"/>
              <w:jc w:val="both"/>
            </w:pPr>
            <w:r>
              <w:rPr>
                <w:rFonts w:ascii="Times New Roman"/>
                <w:b w:val="false"/>
                <w:i w:val="false"/>
                <w:color w:val="000000"/>
                <w:sz w:val="20"/>
              </w:rPr>
              <w:t>
6) номинальную потребляемую или полезную мощность либо номинальный ток;</w:t>
            </w:r>
          </w:p>
          <w:p>
            <w:pPr>
              <w:spacing w:after="20"/>
              <w:ind w:left="20"/>
              <w:jc w:val="both"/>
            </w:pPr>
            <w:r>
              <w:rPr>
                <w:rFonts w:ascii="Times New Roman"/>
                <w:b w:val="false"/>
                <w:i w:val="false"/>
                <w:color w:val="000000"/>
                <w:sz w:val="20"/>
              </w:rPr>
              <w:t>
7) массу;</w:t>
            </w:r>
          </w:p>
          <w:p>
            <w:pPr>
              <w:spacing w:after="20"/>
              <w:ind w:left="20"/>
              <w:jc w:val="both"/>
            </w:pPr>
            <w:r>
              <w:rPr>
                <w:rFonts w:ascii="Times New Roman"/>
                <w:b w:val="false"/>
                <w:i w:val="false"/>
                <w:color w:val="000000"/>
                <w:sz w:val="20"/>
              </w:rPr>
              <w:t>
8) габаритные размеры;</w:t>
            </w:r>
          </w:p>
          <w:p>
            <w:pPr>
              <w:spacing w:after="20"/>
              <w:ind w:left="20"/>
              <w:jc w:val="both"/>
            </w:pPr>
            <w:r>
              <w:rPr>
                <w:rFonts w:ascii="Times New Roman"/>
                <w:b w:val="false"/>
                <w:i w:val="false"/>
                <w:color w:val="000000"/>
                <w:sz w:val="20"/>
              </w:rPr>
              <w:t>
9) дату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 наличие и размещение при розничной реализации автомобильного бензина и дизельного топлива в местах, доступных для потребителей информации о наименовании, марке топлива, в том числе об экологическом классе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автомобильного бензина требованиям к характеристикам автомобильного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автомобильном бензине металлосодержащих присадок (содержащих марганец, свинец и железо)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дизельного топлива требованиям к характеристикам дизельного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наряду с выпуском в обращение (обращение) дизельного топлива, допускается выпуск в обращение дизельного топлива, используемого для сельскохозяйственной и внедорожной техники, с цетановым числом не менее 45 и массовой долей серы не более 2000 мг/кг и без нормирования показателей "смазывающая способность" и "массовая доля полициклических ароматических углеводородов" при условии соответствия остальных характеристик требованиям к характеристикам дизельного топлива, с запретом реализации данного топлива через автозаправочные станции общего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дизельном топливе металлосодержащих присадок, за исключением антистатических присадок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мазута требованиям к характеристикам мазута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топлива для реактивных двигателей требованиям к характеристикам топлива для реактивных двигателей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содержания в топливе для реактивных двигателей, поверхностно-активных и химических веществ в количестве, ухудшающем его свойства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авиационного бензина требованиям к характеристикам авиационного бензина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авиационный бензин с октановым числом не менее 99,5 и сортностью не менее 130 может содержать краситель голубого цвета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судового топлива требованиям к характеристикам судового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топлива, выпускаемого в обращение и находящегося в обращении, документа о качестве (паспорт).</w:t>
            </w:r>
          </w:p>
          <w:p>
            <w:pPr>
              <w:spacing w:after="20"/>
              <w:ind w:left="20"/>
              <w:jc w:val="both"/>
            </w:pPr>
            <w:r>
              <w:rPr>
                <w:rFonts w:ascii="Times New Roman"/>
                <w:b w:val="false"/>
                <w:i w:val="false"/>
                <w:color w:val="000000"/>
                <w:sz w:val="20"/>
              </w:rPr>
              <w:t>
При этом паспорт содержит:</w:t>
            </w:r>
          </w:p>
          <w:p>
            <w:pPr>
              <w:spacing w:after="20"/>
              <w:ind w:left="20"/>
              <w:jc w:val="both"/>
            </w:pPr>
            <w:r>
              <w:rPr>
                <w:rFonts w:ascii="Times New Roman"/>
                <w:b w:val="false"/>
                <w:i w:val="false"/>
                <w:color w:val="000000"/>
                <w:sz w:val="20"/>
              </w:rPr>
              <w:t>
1) наименование и обозначение марки топлива;</w:t>
            </w:r>
          </w:p>
          <w:p>
            <w:pPr>
              <w:spacing w:after="20"/>
              <w:ind w:left="20"/>
              <w:jc w:val="both"/>
            </w:pPr>
            <w:r>
              <w:rPr>
                <w:rFonts w:ascii="Times New Roman"/>
                <w:b w:val="false"/>
                <w:i w:val="false"/>
                <w:color w:val="000000"/>
                <w:sz w:val="20"/>
              </w:rPr>
              <w:t>
2) наименование изготовителя (уполномоченного изготовителем лица), импортера, продавца, их местонахождение (с указанием страны);</w:t>
            </w:r>
          </w:p>
          <w:p>
            <w:pPr>
              <w:spacing w:after="20"/>
              <w:ind w:left="20"/>
              <w:jc w:val="both"/>
            </w:pPr>
            <w:r>
              <w:rPr>
                <w:rFonts w:ascii="Times New Roman"/>
                <w:b w:val="false"/>
                <w:i w:val="false"/>
                <w:color w:val="000000"/>
                <w:sz w:val="20"/>
              </w:rPr>
              <w:t>
3) обозначение документа, устанавливающего требования к топливу данной марки (при наличии);</w:t>
            </w:r>
          </w:p>
          <w:p>
            <w:pPr>
              <w:spacing w:after="20"/>
              <w:ind w:left="20"/>
              <w:jc w:val="both"/>
            </w:pPr>
            <w:r>
              <w:rPr>
                <w:rFonts w:ascii="Times New Roman"/>
                <w:b w:val="false"/>
                <w:i w:val="false"/>
                <w:color w:val="000000"/>
                <w:sz w:val="20"/>
              </w:rPr>
              <w:t>
4) нормативные значения и фактические результаты испытаний, подтверждающие соответствие топлива данной марки;</w:t>
            </w:r>
          </w:p>
          <w:p>
            <w:pPr>
              <w:spacing w:after="20"/>
              <w:ind w:left="20"/>
              <w:jc w:val="both"/>
            </w:pPr>
            <w:r>
              <w:rPr>
                <w:rFonts w:ascii="Times New Roman"/>
                <w:b w:val="false"/>
                <w:i w:val="false"/>
                <w:color w:val="000000"/>
                <w:sz w:val="20"/>
              </w:rPr>
              <w:t>
5) дату выдачи и номер паспорта;</w:t>
            </w:r>
          </w:p>
          <w:p>
            <w:pPr>
              <w:spacing w:after="20"/>
              <w:ind w:left="20"/>
              <w:jc w:val="both"/>
            </w:pPr>
            <w:r>
              <w:rPr>
                <w:rFonts w:ascii="Times New Roman"/>
                <w:b w:val="false"/>
                <w:i w:val="false"/>
                <w:color w:val="000000"/>
                <w:sz w:val="20"/>
              </w:rPr>
              <w:t>
6) подпись лица, оформившего паспорт;</w:t>
            </w:r>
          </w:p>
          <w:p>
            <w:pPr>
              <w:spacing w:after="20"/>
              <w:ind w:left="20"/>
              <w:jc w:val="both"/>
            </w:pPr>
            <w:r>
              <w:rPr>
                <w:rFonts w:ascii="Times New Roman"/>
                <w:b w:val="false"/>
                <w:i w:val="false"/>
                <w:color w:val="000000"/>
                <w:sz w:val="20"/>
              </w:rPr>
              <w:t>
7) сведения о декларации соответствия;</w:t>
            </w:r>
          </w:p>
          <w:p>
            <w:pPr>
              <w:spacing w:after="20"/>
              <w:ind w:left="20"/>
              <w:jc w:val="both"/>
            </w:pPr>
            <w:r>
              <w:rPr>
                <w:rFonts w:ascii="Times New Roman"/>
                <w:b w:val="false"/>
                <w:i w:val="false"/>
                <w:color w:val="000000"/>
                <w:sz w:val="20"/>
              </w:rPr>
              <w:t>
сведения о наличии присадок в топливе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сопроводительной документации на партию топлива, выпускаемого в обращение на русском языке и на государственном языке государства-члена Евразийского экономического союза, на территории которого данная партия будет находиться в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опасности взрыва от внешнего источника зажигания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горелки с полным предварительным смешением исключению опасности взрыва при всех предусмотренных изготовителем режимах сжигания газообразного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комбинированной горелки безопасности газоиспользующего оборудования при раздельном сжигании газообразного и жидкого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газового тракта газоиспользующего оборудования исключению превышения установленной изготовителем максимально допустимой нормы утечки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соединения газового тракта герметичности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обеспечению вентиляции камеры сгорания за счет естественной тяги или принудительной подачи воздуха перед зажиганием и повторным зажиганием горелки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плавного розжига с равномерным воспламенением по всей поверхности горелки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газоиспользующего оборудования, предназначенное для применения во внутренних пространствах и помещениях,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опасности возгорания опорных и прилегающих к газоиспользующему оборудованию поверхностей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устойчивости пламени и отсутствия в продуктах сгорания недопустимых концентраций оксидов углерода и азота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случайного выброса продуктов сгорания в помещение газоиспользующим оборудованием, соединенным с дымоходом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газа к горелке при нарушениях в системе отвода продуктов сгорания, газоиспользующим оборудованием, соединенного с дымоходом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контроля состояния атмосферного воздуха и прекращения подачи газа к горелкам при концентрации оксида углерода в воздухе помещения, превышающей предельно допустимую концентрацию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конденсат, образующийся при пуске, исключает влияние на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образования конденсата при сжигании газообразного топлива (кроме газоиспользующего оборудования, работающего в конденсационном режиме) газоиспользующим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ухудшения качества материалов, используемые при изготовлении газоиспользующего оборудования, которые соприкасаются с продуктами питания или водой, используемой в санитарных целях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возникновения неустойчивых положений, деформаций, поломок или износа, способных снизить его безопасность в течение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деталей газоиспользующего оборудования, находящиеся под давлением, механическим и температурным эксплуатационным нагрузкам во избежание возникновения деформаций, влияющих на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применяемых при изготовлении газоиспользующего оборудования своему назначению и устойчивости к механическим, тепловым и химическим воздействиям, которым они будут подвергаться в течение срока службы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приводит к термическому ожогу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конструкция газоиспользующего оборудования, предназначенного для горячего водоснабжения, предусматривает устройство, исключающее термический ожог пользователя водой, применяемой в данной системе водоснабжения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нарушает безопасность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подключаемым к электрической сети, защиты от поражения электрическим током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газоиспользующее оборудование оснащено устройствами управления, то их работа не нарушает функционирование устройств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безопасности при выходе из строя любого из устройств регулирования, управления или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управления, регулирования и запорной арматуре газоиспользующего оборудования, обозначения и соответствующего указания, предотвращающего ошибочные действия со стороны пользователя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соответствующим образом защищены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эксплуатационной документации информации, ограничивающей условия применения газоиспользующего оборудования или предупреждающей о необходимости принятия мер по обеспечению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эксплуатационной документации газоиспользующего оборудования соответствует нижеследующему:</w:t>
            </w:r>
          </w:p>
          <w:p>
            <w:pPr>
              <w:spacing w:after="20"/>
              <w:ind w:left="20"/>
              <w:jc w:val="both"/>
            </w:pPr>
            <w:r>
              <w:rPr>
                <w:rFonts w:ascii="Times New Roman"/>
                <w:b w:val="false"/>
                <w:i w:val="false"/>
                <w:color w:val="000000"/>
                <w:sz w:val="20"/>
              </w:rPr>
              <w:t>
1) в комплект поставки газоиспользующего оборудования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2) 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 При необходимости допускается объединять указанные документы.</w:t>
            </w:r>
          </w:p>
          <w:p>
            <w:pPr>
              <w:spacing w:after="20"/>
              <w:ind w:left="20"/>
              <w:jc w:val="both"/>
            </w:pPr>
            <w:r>
              <w:rPr>
                <w:rFonts w:ascii="Times New Roman"/>
                <w:b w:val="false"/>
                <w:i w:val="false"/>
                <w:color w:val="000000"/>
                <w:sz w:val="20"/>
              </w:rPr>
              <w:t>
3) инструкция по монтажу, техническому обслуживанию и ремонту газоиспользующего оборудования содержать следующую информацию:</w:t>
            </w:r>
          </w:p>
          <w:p>
            <w:pPr>
              <w:spacing w:after="20"/>
              <w:ind w:left="20"/>
              <w:jc w:val="both"/>
            </w:pPr>
            <w:r>
              <w:rPr>
                <w:rFonts w:ascii="Times New Roman"/>
                <w:b w:val="false"/>
                <w:i w:val="false"/>
                <w:color w:val="000000"/>
                <w:sz w:val="20"/>
              </w:rPr>
              <w:t>
а) общее описание газоиспользующего оборудования и порядок его работы;</w:t>
            </w:r>
          </w:p>
          <w:p>
            <w:pPr>
              <w:spacing w:after="20"/>
              <w:ind w:left="20"/>
              <w:jc w:val="both"/>
            </w:pPr>
            <w:r>
              <w:rPr>
                <w:rFonts w:ascii="Times New Roman"/>
                <w:b w:val="false"/>
                <w:i w:val="false"/>
                <w:color w:val="000000"/>
                <w:sz w:val="20"/>
              </w:rPr>
              <w:t>
б) номинальную тепловую мощность и (или) номинальную тепловую производительность газоиспользующего оборудования;</w:t>
            </w:r>
          </w:p>
          <w:p>
            <w:pPr>
              <w:spacing w:after="20"/>
              <w:ind w:left="20"/>
              <w:jc w:val="both"/>
            </w:pPr>
            <w:r>
              <w:rPr>
                <w:rFonts w:ascii="Times New Roman"/>
                <w:b w:val="false"/>
                <w:i w:val="false"/>
                <w:color w:val="000000"/>
                <w:sz w:val="20"/>
              </w:rPr>
              <w:t>
в) виды и номинальные давления используемых газов;</w:t>
            </w:r>
          </w:p>
          <w:p>
            <w:pPr>
              <w:spacing w:after="20"/>
              <w:ind w:left="20"/>
              <w:jc w:val="both"/>
            </w:pPr>
            <w:r>
              <w:rPr>
                <w:rFonts w:ascii="Times New Roman"/>
                <w:b w:val="false"/>
                <w:i w:val="false"/>
                <w:color w:val="000000"/>
                <w:sz w:val="20"/>
              </w:rPr>
              <w:t>
г) порядок перевода газоиспользующего оборудования с одного вида газа на другой;</w:t>
            </w:r>
          </w:p>
          <w:p>
            <w:pPr>
              <w:spacing w:after="20"/>
              <w:ind w:left="20"/>
              <w:jc w:val="both"/>
            </w:pPr>
            <w:r>
              <w:rPr>
                <w:rFonts w:ascii="Times New Roman"/>
                <w:b w:val="false"/>
                <w:i w:val="false"/>
                <w:color w:val="000000"/>
                <w:sz w:val="20"/>
              </w:rPr>
              <w:t>
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p>
          <w:p>
            <w:pPr>
              <w:spacing w:after="20"/>
              <w:ind w:left="20"/>
              <w:jc w:val="both"/>
            </w:pPr>
            <w:r>
              <w:rPr>
                <w:rFonts w:ascii="Times New Roman"/>
                <w:b w:val="false"/>
                <w:i w:val="false"/>
                <w:color w:val="000000"/>
                <w:sz w:val="20"/>
              </w:rPr>
              <w:t>
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p>
          <w:p>
            <w:pPr>
              <w:spacing w:after="20"/>
              <w:ind w:left="20"/>
              <w:jc w:val="both"/>
            </w:pPr>
            <w:r>
              <w:rPr>
                <w:rFonts w:ascii="Times New Roman"/>
                <w:b w:val="false"/>
                <w:i w:val="false"/>
                <w:color w:val="000000"/>
                <w:sz w:val="20"/>
              </w:rPr>
              <w:t>
ж) требования к химическому составу воды для отопительного оборудования (когда вода является теплоносителем);</w:t>
            </w:r>
          </w:p>
          <w:p>
            <w:pPr>
              <w:spacing w:after="20"/>
              <w:ind w:left="20"/>
              <w:jc w:val="both"/>
            </w:pPr>
            <w:r>
              <w:rPr>
                <w:rFonts w:ascii="Times New Roman"/>
                <w:b w:val="false"/>
                <w:i w:val="false"/>
                <w:color w:val="000000"/>
                <w:sz w:val="20"/>
              </w:rPr>
              <w:t>
з) номинальное напряжение электрической сети для газоиспользующего оборудования с электрическим питанием систем автоматики;</w:t>
            </w:r>
          </w:p>
          <w:p>
            <w:pPr>
              <w:spacing w:after="20"/>
              <w:ind w:left="20"/>
              <w:jc w:val="both"/>
            </w:pPr>
            <w:r>
              <w:rPr>
                <w:rFonts w:ascii="Times New Roman"/>
                <w:b w:val="false"/>
                <w:i w:val="false"/>
                <w:color w:val="000000"/>
                <w:sz w:val="20"/>
              </w:rPr>
              <w:t>
и) виды и периодичность технического обслуживания, которому подвергаться газоиспользующее оборудование в процессе его эксплуатации;</w:t>
            </w:r>
          </w:p>
          <w:p>
            <w:pPr>
              <w:spacing w:after="20"/>
              <w:ind w:left="20"/>
              <w:jc w:val="both"/>
            </w:pPr>
            <w:r>
              <w:rPr>
                <w:rFonts w:ascii="Times New Roman"/>
                <w:b w:val="false"/>
                <w:i w:val="false"/>
                <w:color w:val="000000"/>
                <w:sz w:val="20"/>
              </w:rPr>
              <w:t>
к) характерные неисправности газоиспользующего оборудования и методы их устранения;</w:t>
            </w:r>
          </w:p>
          <w:p>
            <w:pPr>
              <w:spacing w:after="20"/>
              <w:ind w:left="20"/>
              <w:jc w:val="both"/>
            </w:pPr>
            <w:r>
              <w:rPr>
                <w:rFonts w:ascii="Times New Roman"/>
                <w:b w:val="false"/>
                <w:i w:val="false"/>
                <w:color w:val="000000"/>
                <w:sz w:val="20"/>
              </w:rPr>
              <w:t>
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p>
          <w:p>
            <w:pPr>
              <w:spacing w:after="20"/>
              <w:ind w:left="20"/>
              <w:jc w:val="both"/>
            </w:pPr>
            <w:r>
              <w:rPr>
                <w:rFonts w:ascii="Times New Roman"/>
                <w:b w:val="false"/>
                <w:i w:val="false"/>
                <w:color w:val="000000"/>
                <w:sz w:val="20"/>
              </w:rPr>
              <w:t>
м) наименование и местонахождение изготовителя (лица, выполняющего функции иностранного изготовителя), информацию для связи с ними;</w:t>
            </w:r>
          </w:p>
          <w:p>
            <w:pPr>
              <w:spacing w:after="20"/>
              <w:ind w:left="20"/>
              <w:jc w:val="both"/>
            </w:pPr>
            <w:r>
              <w:rPr>
                <w:rFonts w:ascii="Times New Roman"/>
                <w:b w:val="false"/>
                <w:i w:val="false"/>
                <w:color w:val="000000"/>
                <w:sz w:val="20"/>
              </w:rPr>
              <w:t>
н) месяц и год изготовления газоиспользующего оборудования и (или) информацию о месте нанесения и способе определения года изготовления.</w:t>
            </w:r>
          </w:p>
          <w:p>
            <w:pPr>
              <w:spacing w:after="20"/>
              <w:ind w:left="20"/>
              <w:jc w:val="both"/>
            </w:pPr>
            <w:r>
              <w:rPr>
                <w:rFonts w:ascii="Times New Roman"/>
                <w:b w:val="false"/>
                <w:i w:val="false"/>
                <w:color w:val="000000"/>
                <w:sz w:val="20"/>
              </w:rPr>
              <w:t>
4) руководство по эксплуатации газоиспользующего оборудования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p>
          <w:p>
            <w:pPr>
              <w:spacing w:after="20"/>
              <w:ind w:left="20"/>
              <w:jc w:val="both"/>
            </w:pPr>
            <w:r>
              <w:rPr>
                <w:rFonts w:ascii="Times New Roman"/>
                <w:b w:val="false"/>
                <w:i w:val="false"/>
                <w:color w:val="000000"/>
                <w:sz w:val="20"/>
              </w:rPr>
              <w:t>
5) в руководстве по эксплуатации установлены рекомендации по безопасной утилизации газоиспользующего оборудования;</w:t>
            </w:r>
          </w:p>
          <w:p>
            <w:pPr>
              <w:spacing w:after="20"/>
              <w:ind w:left="20"/>
              <w:jc w:val="both"/>
            </w:pPr>
            <w:r>
              <w:rPr>
                <w:rFonts w:ascii="Times New Roman"/>
                <w:b w:val="false"/>
                <w:i w:val="false"/>
                <w:color w:val="000000"/>
                <w:sz w:val="20"/>
              </w:rPr>
              <w:t>
6) арматура, предназначенная для монтажа газоиспользующего оборудования, и устройства, предназначенные для встраивания в газоиспользующее оборудование, поставляться в комплекте с инструкцией по монтажу, техническому обслуживанию и ремонту газоиспользующего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маркировке газоиспользующего оборудования соответствовать нижеследующему:</w:t>
            </w:r>
          </w:p>
          <w:p>
            <w:pPr>
              <w:spacing w:after="20"/>
              <w:ind w:left="20"/>
              <w:jc w:val="both"/>
            </w:pPr>
            <w:r>
              <w:rPr>
                <w:rFonts w:ascii="Times New Roman"/>
                <w:b w:val="false"/>
                <w:i w:val="false"/>
                <w:color w:val="000000"/>
                <w:sz w:val="20"/>
              </w:rPr>
              <w:t>
1) каждая единица газоиспользующего оборудования, выпускаемого в обращение на рынке государств - членов Евразийского экономического союза,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p>
          <w:p>
            <w:pPr>
              <w:spacing w:after="20"/>
              <w:ind w:left="20"/>
              <w:jc w:val="both"/>
            </w:pPr>
            <w:r>
              <w:rPr>
                <w:rFonts w:ascii="Times New Roman"/>
                <w:b w:val="false"/>
                <w:i w:val="false"/>
                <w:color w:val="000000"/>
                <w:sz w:val="20"/>
              </w:rPr>
              <w:t>
2) информация, содержащаяся в маркировке газоиспользующего оборудования, излагается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3) маркировка содержать следующую информацию:</w:t>
            </w:r>
          </w:p>
          <w:p>
            <w:pPr>
              <w:spacing w:after="20"/>
              <w:ind w:left="20"/>
              <w:jc w:val="both"/>
            </w:pPr>
            <w:r>
              <w:rPr>
                <w:rFonts w:ascii="Times New Roman"/>
                <w:b w:val="false"/>
                <w:i w:val="false"/>
                <w:color w:val="000000"/>
                <w:sz w:val="20"/>
              </w:rPr>
              <w:t>
а) наименование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б) модель (тип) оборудования;</w:t>
            </w:r>
          </w:p>
          <w:p>
            <w:pPr>
              <w:spacing w:after="20"/>
              <w:ind w:left="20"/>
              <w:jc w:val="both"/>
            </w:pPr>
            <w:r>
              <w:rPr>
                <w:rFonts w:ascii="Times New Roman"/>
                <w:b w:val="false"/>
                <w:i w:val="false"/>
                <w:color w:val="000000"/>
                <w:sz w:val="20"/>
              </w:rPr>
              <w:t>
в) серийный номер (номер партии);</w:t>
            </w:r>
          </w:p>
          <w:p>
            <w:pPr>
              <w:spacing w:after="20"/>
              <w:ind w:left="20"/>
              <w:jc w:val="both"/>
            </w:pPr>
            <w:r>
              <w:rPr>
                <w:rFonts w:ascii="Times New Roman"/>
                <w:b w:val="false"/>
                <w:i w:val="false"/>
                <w:color w:val="000000"/>
                <w:sz w:val="20"/>
              </w:rPr>
              <w:t>
г) дата изготовления оборудования (месяц, год);</w:t>
            </w:r>
          </w:p>
          <w:p>
            <w:pPr>
              <w:spacing w:after="20"/>
              <w:ind w:left="20"/>
              <w:jc w:val="both"/>
            </w:pPr>
            <w:r>
              <w:rPr>
                <w:rFonts w:ascii="Times New Roman"/>
                <w:b w:val="false"/>
                <w:i w:val="false"/>
                <w:color w:val="000000"/>
                <w:sz w:val="20"/>
              </w:rPr>
              <w:t>
д) номинальная тепловая мощность и номинальная тепловая производительность газоиспользующего оборудования;</w:t>
            </w:r>
          </w:p>
          <w:p>
            <w:pPr>
              <w:spacing w:after="20"/>
              <w:ind w:left="20"/>
              <w:jc w:val="both"/>
            </w:pPr>
            <w:r>
              <w:rPr>
                <w:rFonts w:ascii="Times New Roman"/>
                <w:b w:val="false"/>
                <w:i w:val="false"/>
                <w:color w:val="000000"/>
                <w:sz w:val="20"/>
              </w:rPr>
              <w:t>
е) вид и номинальное давление используемого газа;</w:t>
            </w:r>
          </w:p>
          <w:p>
            <w:pPr>
              <w:spacing w:after="20"/>
              <w:ind w:left="20"/>
              <w:jc w:val="both"/>
            </w:pPr>
            <w:r>
              <w:rPr>
                <w:rFonts w:ascii="Times New Roman"/>
                <w:b w:val="false"/>
                <w:i w:val="false"/>
                <w:color w:val="000000"/>
                <w:sz w:val="20"/>
              </w:rPr>
              <w:t>
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4) предупредительные надписи, нанесенные на газоиспользующее оборудование, информировать пользователя:</w:t>
            </w:r>
          </w:p>
          <w:p>
            <w:pPr>
              <w:spacing w:after="20"/>
              <w:ind w:left="20"/>
              <w:jc w:val="both"/>
            </w:pPr>
            <w:r>
              <w:rPr>
                <w:rFonts w:ascii="Times New Roman"/>
                <w:b w:val="false"/>
                <w:i w:val="false"/>
                <w:color w:val="000000"/>
                <w:sz w:val="20"/>
              </w:rPr>
              <w:t>
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p>
          <w:p>
            <w:pPr>
              <w:spacing w:after="20"/>
              <w:ind w:left="20"/>
              <w:jc w:val="both"/>
            </w:pPr>
            <w:r>
              <w:rPr>
                <w:rFonts w:ascii="Times New Roman"/>
                <w:b w:val="false"/>
                <w:i w:val="false"/>
                <w:color w:val="000000"/>
                <w:sz w:val="20"/>
              </w:rPr>
              <w:t>
5) все присоединительные отверстия трубопроводов закрыты транспортировочными заглушками.</w:t>
            </w:r>
          </w:p>
          <w:p>
            <w:pPr>
              <w:spacing w:after="20"/>
              <w:ind w:left="20"/>
              <w:jc w:val="both"/>
            </w:pPr>
            <w:r>
              <w:rPr>
                <w:rFonts w:ascii="Times New Roman"/>
                <w:b w:val="false"/>
                <w:i w:val="false"/>
                <w:color w:val="000000"/>
                <w:sz w:val="20"/>
              </w:rPr>
              <w:t>
6) каждая единица газоиспользующего оборудования упакована так, чтобы обеспечить его сохранность при хранении и транспортировании.</w:t>
            </w:r>
          </w:p>
          <w:p>
            <w:pPr>
              <w:spacing w:after="20"/>
              <w:ind w:left="20"/>
              <w:jc w:val="both"/>
            </w:pPr>
            <w:r>
              <w:rPr>
                <w:rFonts w:ascii="Times New Roman"/>
                <w:b w:val="false"/>
                <w:i w:val="false"/>
                <w:color w:val="000000"/>
                <w:sz w:val="20"/>
              </w:rPr>
              <w:t>
7) упаковка обеспечивать условия транспортирования, погрузки и разгрузки газоиспользующего оборудования.</w:t>
            </w:r>
          </w:p>
          <w:p>
            <w:pPr>
              <w:spacing w:after="20"/>
              <w:ind w:left="20"/>
              <w:jc w:val="both"/>
            </w:pPr>
            <w:r>
              <w:rPr>
                <w:rFonts w:ascii="Times New Roman"/>
                <w:b w:val="false"/>
                <w:i w:val="false"/>
                <w:color w:val="000000"/>
                <w:sz w:val="20"/>
              </w:rPr>
              <w:t>
8) на упаковку с внешней стороны нанесена маркировка.</w:t>
            </w:r>
          </w:p>
          <w:p>
            <w:pPr>
              <w:spacing w:after="20"/>
              <w:ind w:left="20"/>
              <w:jc w:val="both"/>
            </w:pPr>
            <w:r>
              <w:rPr>
                <w:rFonts w:ascii="Times New Roman"/>
                <w:b w:val="false"/>
                <w:i w:val="false"/>
                <w:color w:val="000000"/>
                <w:sz w:val="20"/>
              </w:rPr>
              <w:t>
9) четкой и хорошо различимой маркировкой, нанесена несмываемой или водоотталкивающей краской, контрастной с цветом упаковки.</w:t>
            </w:r>
          </w:p>
          <w:p>
            <w:pPr>
              <w:spacing w:after="20"/>
              <w:ind w:left="20"/>
              <w:jc w:val="both"/>
            </w:pPr>
            <w:r>
              <w:rPr>
                <w:rFonts w:ascii="Times New Roman"/>
                <w:b w:val="false"/>
                <w:i w:val="false"/>
                <w:color w:val="000000"/>
                <w:sz w:val="20"/>
              </w:rPr>
              <w:t>
10) маркировка на упаковке содержать следующую информацию:</w:t>
            </w:r>
          </w:p>
          <w:p>
            <w:pPr>
              <w:spacing w:after="20"/>
              <w:ind w:left="20"/>
              <w:jc w:val="both"/>
            </w:pPr>
            <w:r>
              <w:rPr>
                <w:rFonts w:ascii="Times New Roman"/>
                <w:b w:val="false"/>
                <w:i w:val="false"/>
                <w:color w:val="000000"/>
                <w:sz w:val="20"/>
              </w:rPr>
              <w:t>
а) модель (тип) оборудования;</w:t>
            </w:r>
          </w:p>
          <w:p>
            <w:pPr>
              <w:spacing w:after="20"/>
              <w:ind w:left="20"/>
              <w:jc w:val="both"/>
            </w:pPr>
            <w:r>
              <w:rPr>
                <w:rFonts w:ascii="Times New Roman"/>
                <w:b w:val="false"/>
                <w:i w:val="false"/>
                <w:color w:val="000000"/>
                <w:sz w:val="20"/>
              </w:rPr>
              <w:t>
б) вид и номинальное давление используемого газа;</w:t>
            </w:r>
          </w:p>
          <w:p>
            <w:pPr>
              <w:spacing w:after="20"/>
              <w:ind w:left="20"/>
              <w:jc w:val="both"/>
            </w:pPr>
            <w:r>
              <w:rPr>
                <w:rFonts w:ascii="Times New Roman"/>
                <w:b w:val="false"/>
                <w:i w:val="false"/>
                <w:color w:val="000000"/>
                <w:sz w:val="20"/>
              </w:rPr>
              <w:t>
в) манипуляционные знаки;</w:t>
            </w:r>
          </w:p>
          <w:p>
            <w:pPr>
              <w:spacing w:after="20"/>
              <w:ind w:left="20"/>
              <w:jc w:val="both"/>
            </w:pPr>
            <w:r>
              <w:rPr>
                <w:rFonts w:ascii="Times New Roman"/>
                <w:b w:val="false"/>
                <w:i w:val="false"/>
                <w:color w:val="000000"/>
                <w:sz w:val="20"/>
              </w:rPr>
              <w:t>
г) наименование и (или)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11) манипуляционные знаки дублироваться на разных местах упаковки;</w:t>
            </w:r>
          </w:p>
          <w:p>
            <w:pPr>
              <w:spacing w:after="20"/>
              <w:ind w:left="20"/>
              <w:jc w:val="both"/>
            </w:pPr>
            <w:r>
              <w:rPr>
                <w:rFonts w:ascii="Times New Roman"/>
                <w:b w:val="false"/>
                <w:i w:val="false"/>
                <w:color w:val="000000"/>
                <w:sz w:val="20"/>
              </w:rPr>
              <w:t>
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прохождению оценки соответствия, при котором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установка на транспортные средства категорий М1 и N1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на транспортные средства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обеспечивать возможность оснащения их указанной аппаратурой.</w:t>
            </w:r>
          </w:p>
          <w:p>
            <w:pPr>
              <w:spacing w:after="20"/>
              <w:ind w:left="20"/>
              <w:jc w:val="both"/>
            </w:pPr>
            <w:r>
              <w:rPr>
                <w:rFonts w:ascii="Times New Roman"/>
                <w:b w:val="false"/>
                <w:i w:val="false"/>
                <w:color w:val="000000"/>
                <w:sz w:val="20"/>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М1,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М3, N2, N3 оснащаются устройством вызова экстренных оперативных служб</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конструкция выпускаемых в обращение транспортных средств категорий М2 и М3, осуществляющих коммерческие перевозки пассажиров, категорий N2 и N3, осуществляющих коммерческие перевозки грузов, предусматривает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согласно которого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p>
            <w:pPr>
              <w:spacing w:after="20"/>
              <w:ind w:left="20"/>
              <w:jc w:val="both"/>
            </w:pPr>
            <w:r>
              <w:rPr>
                <w:rFonts w:ascii="Times New Roman"/>
                <w:b w:val="false"/>
                <w:i w:val="false"/>
                <w:color w:val="000000"/>
                <w:sz w:val="20"/>
              </w:rPr>
              <w:t>
Указанное требование применяется при проведении оценки соответствия в форме одобрения типа в отношении:</w:t>
            </w:r>
          </w:p>
          <w:p>
            <w:pPr>
              <w:spacing w:after="20"/>
              <w:ind w:left="20"/>
              <w:jc w:val="both"/>
            </w:pPr>
            <w:r>
              <w:rPr>
                <w:rFonts w:ascii="Times New Roman"/>
                <w:b w:val="false"/>
                <w:i w:val="false"/>
                <w:color w:val="000000"/>
                <w:sz w:val="20"/>
              </w:rPr>
              <w:t>
а) выводимых на информационных экранах (дисплеях),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p>
            <w:pPr>
              <w:spacing w:after="20"/>
              <w:ind w:left="20"/>
              <w:jc w:val="both"/>
            </w:pPr>
            <w:r>
              <w:rPr>
                <w:rFonts w:ascii="Times New Roman"/>
                <w:b w:val="false"/>
                <w:i w:val="false"/>
                <w:color w:val="000000"/>
                <w:sz w:val="20"/>
              </w:rPr>
              <w:t>
б) надписей на табличках и наклейках на транспортном средстве, информирующих о порядке безопасного использования транспортного средства и его систем.</w:t>
            </w:r>
          </w:p>
          <w:p>
            <w:pPr>
              <w:spacing w:after="20"/>
              <w:ind w:left="20"/>
              <w:jc w:val="both"/>
            </w:pPr>
            <w:r>
              <w:rPr>
                <w:rFonts w:ascii="Times New Roman"/>
                <w:b w:val="false"/>
                <w:i w:val="false"/>
                <w:color w:val="000000"/>
                <w:sz w:val="20"/>
              </w:rPr>
              <w:t>
При условии соответствующего перевода и разъяснения в руководстве (инструкции) по эксплуатации транспортного средства указанное требование не применяется в отношении:</w:t>
            </w:r>
          </w:p>
          <w:p>
            <w:pPr>
              <w:spacing w:after="20"/>
              <w:ind w:left="20"/>
              <w:jc w:val="both"/>
            </w:pPr>
            <w:r>
              <w:rPr>
                <w:rFonts w:ascii="Times New Roman"/>
                <w:b w:val="false"/>
                <w:i w:val="false"/>
                <w:color w:val="000000"/>
                <w:sz w:val="20"/>
              </w:rPr>
              <w:t>
а) сообщений информационных экранов (дисплеев) аудио-, видео-, игровых и мультимедийных систем;</w:t>
            </w:r>
          </w:p>
          <w:p>
            <w:pPr>
              <w:spacing w:after="20"/>
              <w:ind w:left="20"/>
              <w:jc w:val="both"/>
            </w:pPr>
            <w:r>
              <w:rPr>
                <w:rFonts w:ascii="Times New Roman"/>
                <w:b w:val="false"/>
                <w:i w:val="false"/>
                <w:color w:val="000000"/>
                <w:sz w:val="20"/>
              </w:rPr>
              <w:t>
б) аббревиатур;</w:t>
            </w:r>
          </w:p>
          <w:p>
            <w:pPr>
              <w:spacing w:after="20"/>
              <w:ind w:left="20"/>
              <w:jc w:val="both"/>
            </w:pPr>
            <w:r>
              <w:rPr>
                <w:rFonts w:ascii="Times New Roman"/>
                <w:b w:val="false"/>
                <w:i w:val="false"/>
                <w:color w:val="000000"/>
                <w:sz w:val="20"/>
              </w:rPr>
              <w:t>
в) надписей, нанесенных на органы управления и конструктивные элементы транспортного средства;</w:t>
            </w:r>
          </w:p>
          <w:p>
            <w:pPr>
              <w:spacing w:after="20"/>
              <w:ind w:left="20"/>
              <w:jc w:val="both"/>
            </w:pPr>
            <w:r>
              <w:rPr>
                <w:rFonts w:ascii="Times New Roman"/>
                <w:b w:val="false"/>
                <w:i w:val="false"/>
                <w:color w:val="000000"/>
                <w:sz w:val="20"/>
              </w:rPr>
              <w:t>
г) единиц измерения;</w:t>
            </w:r>
          </w:p>
          <w:p>
            <w:pPr>
              <w:spacing w:after="20"/>
              <w:ind w:left="20"/>
              <w:jc w:val="both"/>
            </w:pPr>
            <w:r>
              <w:rPr>
                <w:rFonts w:ascii="Times New Roman"/>
                <w:b w:val="false"/>
                <w:i w:val="false"/>
                <w:color w:val="000000"/>
                <w:sz w:val="20"/>
              </w:rPr>
              <w:t>
д) названий фирм, фирменных наименований транспортных средств, применяемых на них систем и компонентов транспортных средств;</w:t>
            </w:r>
          </w:p>
          <w:p>
            <w:pPr>
              <w:spacing w:after="20"/>
              <w:ind w:left="20"/>
              <w:jc w:val="both"/>
            </w:pPr>
            <w:r>
              <w:rPr>
                <w:rFonts w:ascii="Times New Roman"/>
                <w:b w:val="false"/>
                <w:i w:val="false"/>
                <w:color w:val="000000"/>
                <w:sz w:val="20"/>
              </w:rPr>
              <w:t>
е) маркировок официальных утверждений типа;</w:t>
            </w:r>
          </w:p>
          <w:p>
            <w:pPr>
              <w:spacing w:after="20"/>
              <w:ind w:left="20"/>
              <w:jc w:val="both"/>
            </w:pPr>
            <w:r>
              <w:rPr>
                <w:rFonts w:ascii="Times New Roman"/>
                <w:b w:val="false"/>
                <w:i w:val="false"/>
                <w:color w:val="000000"/>
                <w:sz w:val="20"/>
              </w:rPr>
              <w:t>
ж) сообщений и надписей, специально предназначенных для работников сервисных станций.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реализация требований безопасности обеспечивается:</w:t>
            </w:r>
          </w:p>
          <w:p>
            <w:pPr>
              <w:spacing w:after="20"/>
              <w:ind w:left="20"/>
              <w:jc w:val="both"/>
            </w:pPr>
            <w:r>
              <w:rPr>
                <w:rFonts w:ascii="Times New Roman"/>
                <w:b w:val="false"/>
                <w:i w:val="false"/>
                <w:color w:val="000000"/>
                <w:sz w:val="20"/>
              </w:rPr>
              <w:t>
1) в отношении типов выпускаемых в обращение транспортных средств (шасси) при проведении оценки соответствия в форме одобрения типа;</w:t>
            </w:r>
          </w:p>
          <w:p>
            <w:pPr>
              <w:spacing w:after="20"/>
              <w:ind w:left="20"/>
              <w:jc w:val="both"/>
            </w:pPr>
            <w:r>
              <w:rPr>
                <w:rFonts w:ascii="Times New Roman"/>
                <w:b w:val="false"/>
                <w:i w:val="false"/>
                <w:color w:val="000000"/>
                <w:sz w:val="20"/>
              </w:rPr>
              <w:t>
2) в отношении выпускаемых в обращение единичных транспортных средств;</w:t>
            </w:r>
          </w:p>
          <w:p>
            <w:pPr>
              <w:spacing w:after="20"/>
              <w:ind w:left="20"/>
              <w:jc w:val="both"/>
            </w:pPr>
            <w:r>
              <w:rPr>
                <w:rFonts w:ascii="Times New Roman"/>
                <w:b w:val="false"/>
                <w:i w:val="false"/>
                <w:color w:val="000000"/>
                <w:sz w:val="20"/>
              </w:rPr>
              <w:t>
3) в отношении габаритных и весовых ограничений выпускаемых в обращение транспортных средств;</w:t>
            </w:r>
          </w:p>
          <w:p>
            <w:pPr>
              <w:spacing w:after="20"/>
              <w:ind w:left="20"/>
              <w:jc w:val="both"/>
            </w:pPr>
            <w:r>
              <w:rPr>
                <w:rFonts w:ascii="Times New Roman"/>
                <w:b w:val="false"/>
                <w:i w:val="false"/>
                <w:color w:val="000000"/>
                <w:sz w:val="20"/>
              </w:rPr>
              <w:t>
4) в отношении выпускаемых в обращение специальных и специализированных транспортных средств с учетом их функционального назначения;</w:t>
            </w:r>
          </w:p>
          <w:p>
            <w:pPr>
              <w:spacing w:after="20"/>
              <w:ind w:left="20"/>
              <w:jc w:val="both"/>
            </w:pPr>
            <w:r>
              <w:rPr>
                <w:rFonts w:ascii="Times New Roman"/>
                <w:b w:val="false"/>
                <w:i w:val="false"/>
                <w:color w:val="000000"/>
                <w:sz w:val="20"/>
              </w:rPr>
              <w:t>
5) в отношении находящихся в эксплуатации транспортных средств;</w:t>
            </w:r>
          </w:p>
          <w:p>
            <w:pPr>
              <w:spacing w:after="20"/>
              <w:ind w:left="20"/>
              <w:jc w:val="both"/>
            </w:pPr>
            <w:r>
              <w:rPr>
                <w:rFonts w:ascii="Times New Roman"/>
                <w:b w:val="false"/>
                <w:i w:val="false"/>
                <w:color w:val="000000"/>
                <w:sz w:val="20"/>
              </w:rPr>
              <w:t>
6) в отношении находящихся в эксплуатации транспортных средств при внесении изменений в их конструкцию.</w:t>
            </w:r>
          </w:p>
          <w:p>
            <w:pPr>
              <w:spacing w:after="20"/>
              <w:ind w:left="20"/>
              <w:jc w:val="both"/>
            </w:pPr>
            <w:r>
              <w:rPr>
                <w:rFonts w:ascii="Times New Roman"/>
                <w:b w:val="false"/>
                <w:i w:val="false"/>
                <w:color w:val="000000"/>
                <w:sz w:val="20"/>
              </w:rPr>
              <w:t>
К инновационным транспортным средствам требования безопасности устанавливаются решением уполномоченного органа по техническому регулированию государства – члена Евразийского экономического союза, в котором проводится оценка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категорий М и N и двигателей внутреннего сгорания для них экологическим классам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транспортном средстве индивидуального идентификационного номера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выпуск в обращение транспортных средств с правосторонним расположением рулевого управления категорий М2 и М3.</w:t>
            </w:r>
          </w:p>
          <w:p>
            <w:pPr>
              <w:spacing w:after="20"/>
              <w:ind w:left="20"/>
              <w:jc w:val="both"/>
            </w:pPr>
            <w:r>
              <w:rPr>
                <w:rFonts w:ascii="Times New Roman"/>
                <w:b w:val="false"/>
                <w:i w:val="false"/>
                <w:color w:val="000000"/>
                <w:sz w:val="20"/>
              </w:rPr>
              <w:t>
В республике Армения,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техническое средство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электромагнитные помехи, создаваемые техническим средством, не превышали уровня, обеспечивающего функционирование средств связи и технических средств в соответствии с их назначением.</w:t>
            </w:r>
          </w:p>
          <w:p>
            <w:pPr>
              <w:spacing w:after="20"/>
              <w:ind w:left="20"/>
              <w:jc w:val="both"/>
            </w:pPr>
            <w:r>
              <w:rPr>
                <w:rFonts w:ascii="Times New Roman"/>
                <w:b w:val="false"/>
                <w:i w:val="false"/>
                <w:color w:val="000000"/>
                <w:sz w:val="20"/>
              </w:rPr>
              <w:t>
Соответствие уровню устойчивости к электромагнитным помехам (помехоустойчивости), обеспечивающей его функционирование в электромагнитной обстановке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при котором наименование, обозначение технического средства (тип, марка, модель – при наличии), его основные параметры и характеристики, наименование, товарный знак изготовителя, наименование страны, где изготовлено техническое средство, нанесены на техническое средство и указаны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изготовителя, его товарный знак, наименование и обозначение технического средства (тип, марка, модель - при наличии) также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если сведения о техническом средстве невозможно нанести на это техническое средство, эти сведения указываются только в прилагаемых к данному техническому средству эксплуатационных документах. При этом наименование изготовителя, его товарный знак, наименование и обозначение технического средства (тип, марка, модель – при наличии)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на наличие разборчивой маркировки технического средства, легко читаемой и нанесенной на техническое средство в доступном для осмотра без разборки с применением инструмента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технического средства на наличие эксплуатационных документов выполненных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с выполнением эксплуатационных документов на бумажных носителях. К ним может быть приложен комплект эксплуатационных документов на электронных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прохождению оценки соответствия, при котором технические характеристики маломерных судов, выпущенных в обращение на единой таможенной территории Евразийского экономического союза, соответствуют заявленным техническим характеристикам и показателям, приведенным в сопроводительной технической документации строителя маломерного судна. </w:t>
            </w:r>
          </w:p>
          <w:p>
            <w:pPr>
              <w:spacing w:after="20"/>
              <w:ind w:left="20"/>
              <w:jc w:val="both"/>
            </w:pPr>
            <w:r>
              <w:rPr>
                <w:rFonts w:ascii="Times New Roman"/>
                <w:b w:val="false"/>
                <w:i w:val="false"/>
                <w:color w:val="000000"/>
                <w:sz w:val="20"/>
              </w:rPr>
              <w:t>
Показатели безопасности маломерных судов не снижаются под воздействием внешних климатических и механических факторов, допускаемых условиями нормальной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на каждом маломерном судне строителем маломерного судна установлена и закреплена маркировочная табличка, которая содержит следующую информацию: </w:t>
            </w:r>
          </w:p>
          <w:p>
            <w:pPr>
              <w:spacing w:after="20"/>
              <w:ind w:left="20"/>
              <w:jc w:val="both"/>
            </w:pPr>
            <w:r>
              <w:rPr>
                <w:rFonts w:ascii="Times New Roman"/>
                <w:b w:val="false"/>
                <w:i w:val="false"/>
                <w:color w:val="000000"/>
                <w:sz w:val="20"/>
              </w:rPr>
              <w:t xml:space="preserve">
1) наименование, местоположение (включая юридический адрес и страну) и фирменный знак организации – строителя маломерного судна или изготовителя; </w:t>
            </w:r>
          </w:p>
          <w:p>
            <w:pPr>
              <w:spacing w:after="20"/>
              <w:ind w:left="20"/>
              <w:jc w:val="both"/>
            </w:pPr>
            <w:r>
              <w:rPr>
                <w:rFonts w:ascii="Times New Roman"/>
                <w:b w:val="false"/>
                <w:i w:val="false"/>
                <w:color w:val="000000"/>
                <w:sz w:val="20"/>
              </w:rPr>
              <w:t xml:space="preserve">
2) идентификационный номер по системе учета строителя маломерного судна; </w:t>
            </w:r>
          </w:p>
          <w:p>
            <w:pPr>
              <w:spacing w:after="20"/>
              <w:ind w:left="20"/>
              <w:jc w:val="both"/>
            </w:pPr>
            <w:r>
              <w:rPr>
                <w:rFonts w:ascii="Times New Roman"/>
                <w:b w:val="false"/>
                <w:i w:val="false"/>
                <w:color w:val="000000"/>
                <w:sz w:val="20"/>
              </w:rPr>
              <w:t xml:space="preserve">
3) дату постройки маломерного судна; </w:t>
            </w:r>
          </w:p>
          <w:p>
            <w:pPr>
              <w:spacing w:after="20"/>
              <w:ind w:left="20"/>
              <w:jc w:val="both"/>
            </w:pPr>
            <w:r>
              <w:rPr>
                <w:rFonts w:ascii="Times New Roman"/>
                <w:b w:val="false"/>
                <w:i w:val="false"/>
                <w:color w:val="000000"/>
                <w:sz w:val="20"/>
              </w:rPr>
              <w:t xml:space="preserve">
4) тип маломерного судна; </w:t>
            </w:r>
          </w:p>
          <w:p>
            <w:pPr>
              <w:spacing w:after="20"/>
              <w:ind w:left="20"/>
              <w:jc w:val="both"/>
            </w:pPr>
            <w:r>
              <w:rPr>
                <w:rFonts w:ascii="Times New Roman"/>
                <w:b w:val="false"/>
                <w:i w:val="false"/>
                <w:color w:val="000000"/>
                <w:sz w:val="20"/>
              </w:rPr>
              <w:t xml:space="preserve">
5) номер (обозначение) проекта (при его наличии); </w:t>
            </w:r>
          </w:p>
          <w:p>
            <w:pPr>
              <w:spacing w:after="20"/>
              <w:ind w:left="20"/>
              <w:jc w:val="both"/>
            </w:pPr>
            <w:r>
              <w:rPr>
                <w:rFonts w:ascii="Times New Roman"/>
                <w:b w:val="false"/>
                <w:i w:val="false"/>
                <w:color w:val="000000"/>
                <w:sz w:val="20"/>
              </w:rPr>
              <w:t xml:space="preserve">
6) максимальные грузоподъемность или количество людей на борту; </w:t>
            </w:r>
          </w:p>
          <w:p>
            <w:pPr>
              <w:spacing w:after="20"/>
              <w:ind w:left="20"/>
              <w:jc w:val="both"/>
            </w:pPr>
            <w:r>
              <w:rPr>
                <w:rFonts w:ascii="Times New Roman"/>
                <w:b w:val="false"/>
                <w:i w:val="false"/>
                <w:color w:val="000000"/>
                <w:sz w:val="20"/>
              </w:rPr>
              <w:t xml:space="preserve">
7) максимальная мощность двигателей (для маломерных самоходных судов); </w:t>
            </w:r>
          </w:p>
          <w:p>
            <w:pPr>
              <w:spacing w:after="20"/>
              <w:ind w:left="20"/>
              <w:jc w:val="both"/>
            </w:pPr>
            <w:r>
              <w:rPr>
                <w:rFonts w:ascii="Times New Roman"/>
                <w:b w:val="false"/>
                <w:i w:val="false"/>
                <w:color w:val="000000"/>
                <w:sz w:val="20"/>
              </w:rPr>
              <w:t xml:space="preserve">
8) максимальная скорость движения (для маломерных самоходных судов); </w:t>
            </w:r>
          </w:p>
          <w:p>
            <w:pPr>
              <w:spacing w:after="20"/>
              <w:ind w:left="20"/>
              <w:jc w:val="both"/>
            </w:pPr>
            <w:r>
              <w:rPr>
                <w:rFonts w:ascii="Times New Roman"/>
                <w:b w:val="false"/>
                <w:i w:val="false"/>
                <w:color w:val="000000"/>
                <w:sz w:val="20"/>
              </w:rPr>
              <w:t>
9) срок службы (при установлении).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безопасности к маломерным судам устанавливаются в зависимости от категорий сложности района плавания, в котором предполагается их эксплуатация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маломерных судов и их конструктивных элементов прочности и остойчивости, позволяющей выдерживать нагрузки, которым они подвергаются в спецификационных (предусмотренных при проектировании) условиях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долговечности материалов, применяемых для изготовления корпусов маломерных судов, деталей и узлов их технических средств срокам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размеры и взаимное расположение его элементов обеспечивают: </w:t>
            </w:r>
          </w:p>
          <w:p>
            <w:pPr>
              <w:spacing w:after="20"/>
              <w:ind w:left="20"/>
              <w:jc w:val="both"/>
            </w:pPr>
            <w:r>
              <w:rPr>
                <w:rFonts w:ascii="Times New Roman"/>
                <w:b w:val="false"/>
                <w:i w:val="false"/>
                <w:color w:val="000000"/>
                <w:sz w:val="20"/>
              </w:rPr>
              <w:t>
1) прочность и водонепроницаемость;</w:t>
            </w:r>
          </w:p>
          <w:p>
            <w:pPr>
              <w:spacing w:after="20"/>
              <w:ind w:left="20"/>
              <w:jc w:val="both"/>
            </w:pPr>
            <w:r>
              <w:rPr>
                <w:rFonts w:ascii="Times New Roman"/>
                <w:b w:val="false"/>
                <w:i w:val="false"/>
                <w:color w:val="000000"/>
                <w:sz w:val="20"/>
              </w:rPr>
              <w:t xml:space="preserve">
2) остойчивость маломерного судна; </w:t>
            </w:r>
          </w:p>
          <w:p>
            <w:pPr>
              <w:spacing w:after="20"/>
              <w:ind w:left="20"/>
              <w:jc w:val="both"/>
            </w:pPr>
            <w:r>
              <w:rPr>
                <w:rFonts w:ascii="Times New Roman"/>
                <w:b w:val="false"/>
                <w:i w:val="false"/>
                <w:color w:val="000000"/>
                <w:sz w:val="20"/>
              </w:rPr>
              <w:t>
3) надежность и безопасность технической эксплуатации корпусных конструкций;</w:t>
            </w:r>
          </w:p>
          <w:p>
            <w:pPr>
              <w:spacing w:after="20"/>
              <w:ind w:left="20"/>
              <w:jc w:val="both"/>
            </w:pPr>
            <w:r>
              <w:rPr>
                <w:rFonts w:ascii="Times New Roman"/>
                <w:b w:val="false"/>
                <w:i w:val="false"/>
                <w:color w:val="000000"/>
                <w:sz w:val="20"/>
              </w:rPr>
              <w:t>
4) расположение и установку судовых технических средств, обеспечивающие их безопасную эксплуатацию и обслуживание;</w:t>
            </w:r>
          </w:p>
          <w:p>
            <w:pPr>
              <w:spacing w:after="20"/>
              <w:ind w:left="20"/>
              <w:jc w:val="both"/>
            </w:pPr>
            <w:r>
              <w:rPr>
                <w:rFonts w:ascii="Times New Roman"/>
                <w:b w:val="false"/>
                <w:i w:val="false"/>
                <w:color w:val="000000"/>
                <w:sz w:val="20"/>
              </w:rPr>
              <w:t>
предотвращение загрязнения окружающей среды при эксплуатации и минимизацию загрязнения окружающей среды при авариях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маломерных судов остойчивости и непотопляемости при нагрузках, соответствующих спецификационным условиям их эксплуатации, предусмотренных проектами на маломерные суда.</w:t>
            </w:r>
          </w:p>
          <w:p>
            <w:pPr>
              <w:spacing w:after="20"/>
              <w:ind w:left="20"/>
              <w:jc w:val="both"/>
            </w:pPr>
            <w:r>
              <w:rPr>
                <w:rFonts w:ascii="Times New Roman"/>
                <w:b w:val="false"/>
                <w:i w:val="false"/>
                <w:color w:val="000000"/>
                <w:sz w:val="20"/>
              </w:rPr>
              <w:t>
5) Во всех местах постоянного и временного пребывания людей, а также в местах прохождения людей предусмотрены меры по предотвращению скольжения, падения с высоты и за борт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и надстройки маломерного судна прочности и устойчивости, позволяющими выдерживать нагрузки, которым маломерные суда подвергаются в спецификационных (предусмотренных при проектировании) условиях эксплуатации, чтобы обеспечить безопасность находящихся на маломерном судне людей и сохранность грузов при его эксплуатации. Корпус маломерного судна может быть изготовлен как из одного, так и из композиции нескольких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изготовленного из металла, дерева и стеклопластика, рассчитанного для плавания в районах IV категории сложности 1 – 3 разрядов, предусматривает наличие набора, для маломерных судов, рассчитанных для плавания в районах IV категории сложности 4 – 5 разрядов, – допускается безнаборная конструкция. </w:t>
            </w:r>
          </w:p>
          <w:p>
            <w:pPr>
              <w:spacing w:after="20"/>
              <w:ind w:left="20"/>
              <w:jc w:val="both"/>
            </w:pPr>
            <w:r>
              <w:rPr>
                <w:rFonts w:ascii="Times New Roman"/>
                <w:b w:val="false"/>
                <w:i w:val="false"/>
                <w:color w:val="000000"/>
                <w:sz w:val="20"/>
              </w:rPr>
              <w:t xml:space="preserve">
Конструкция корпуса маломерного судна, изготовленного из водонепроницаемых тканей, для надувных маломерных судов, рассчитанных для плавания в районах IV категорий сложности 1 разряда, предусматривать наличие жесткого днища. </w:t>
            </w:r>
          </w:p>
          <w:p>
            <w:pPr>
              <w:spacing w:after="20"/>
              <w:ind w:left="20"/>
              <w:jc w:val="both"/>
            </w:pPr>
            <w:r>
              <w:rPr>
                <w:rFonts w:ascii="Times New Roman"/>
                <w:b w:val="false"/>
                <w:i w:val="false"/>
                <w:color w:val="000000"/>
                <w:sz w:val="20"/>
              </w:rPr>
              <w:t>
Материалы, применяемые при изготовлении маломерного судна, выбираться с учетом предусмотренных условий эксплуатации, таких как температура, агрессивность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фундаменты маломерных судов под главные двигатели, вспомогательные механизмы и устройства маломерных судов обеспечивают их крепление в любых условиях обстановки в эксплуатационных районах плавания. </w:t>
            </w:r>
          </w:p>
          <w:p>
            <w:pPr>
              <w:spacing w:after="20"/>
              <w:ind w:left="20"/>
              <w:jc w:val="both"/>
            </w:pPr>
            <w:r>
              <w:rPr>
                <w:rFonts w:ascii="Times New Roman"/>
                <w:b w:val="false"/>
                <w:i w:val="false"/>
                <w:color w:val="000000"/>
                <w:sz w:val="20"/>
              </w:rPr>
              <w:t>
С высотой транцев или выносных кронштейнов глиссирующих маломерных судов с подвесными лодочными моторами не менее 380 миллиметров. При наличии подмоторной ниши (рецесса) – в ней предусматриваться шпигаты.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в соответствии с которым маломерные суда имеют рулевые устройства или иные средства управления маломерными судами, обеспечивающие им необходимую маневренность. </w:t>
            </w:r>
          </w:p>
          <w:p>
            <w:pPr>
              <w:spacing w:after="20"/>
              <w:ind w:left="20"/>
              <w:jc w:val="both"/>
            </w:pPr>
            <w:r>
              <w:rPr>
                <w:rFonts w:ascii="Times New Roman"/>
                <w:b w:val="false"/>
                <w:i w:val="false"/>
                <w:color w:val="000000"/>
                <w:sz w:val="20"/>
              </w:rPr>
              <w:t xml:space="preserve">
Несамоходные и гребные маломерные суда указанными устройствами допускается не оборудовать. </w:t>
            </w:r>
          </w:p>
          <w:p>
            <w:pPr>
              <w:spacing w:after="20"/>
              <w:ind w:left="20"/>
              <w:jc w:val="both"/>
            </w:pPr>
            <w:r>
              <w:rPr>
                <w:rFonts w:ascii="Times New Roman"/>
                <w:b w:val="false"/>
                <w:i w:val="false"/>
                <w:color w:val="000000"/>
                <w:sz w:val="20"/>
              </w:rPr>
              <w:t xml:space="preserve">
При наличии на маломерных судах дистанционного рулевого управления предусматривать аварийный рулевой привод, воздействующий непосредственно на баллер, либо сектор рулевого устройства. </w:t>
            </w:r>
          </w:p>
          <w:p>
            <w:pPr>
              <w:spacing w:after="20"/>
              <w:ind w:left="20"/>
              <w:jc w:val="both"/>
            </w:pPr>
            <w:r>
              <w:rPr>
                <w:rFonts w:ascii="Times New Roman"/>
                <w:b w:val="false"/>
                <w:i w:val="false"/>
                <w:color w:val="000000"/>
                <w:sz w:val="20"/>
              </w:rPr>
              <w:t>
Самоходные маломерные суда с подвесными лодочными моторами мощностью 22,1 кВт и более оборудованы рулевым дистанционным управлением в соответствии с требованиями проектанта (строителя)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швартовых устройств, обеспечивающих их надежное закрепление у причальных сооружений или бортов судов и возможность надежного крепления буксирного каната (троса)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маломерных судах устройств, обеспечивающих безопасную буксировку этих судов другим судном при ветре и волнении в разрешенном для этого судна районе плавания. </w:t>
            </w:r>
          </w:p>
          <w:p>
            <w:pPr>
              <w:spacing w:after="20"/>
              <w:ind w:left="20"/>
              <w:jc w:val="both"/>
            </w:pPr>
            <w:r>
              <w:rPr>
                <w:rFonts w:ascii="Times New Roman"/>
                <w:b w:val="false"/>
                <w:i w:val="false"/>
                <w:color w:val="000000"/>
                <w:sz w:val="20"/>
              </w:rPr>
              <w:t xml:space="preserve">
Буксирное устройство маломерного судна обеспечивает буксировку аналогичных ему по водоизмещению или меньшего по тоннажу судна своими штатными средствами с помощью собственных движителей. </w:t>
            </w:r>
          </w:p>
          <w:p>
            <w:pPr>
              <w:spacing w:after="20"/>
              <w:ind w:left="20"/>
              <w:jc w:val="both"/>
            </w:pPr>
            <w:r>
              <w:rPr>
                <w:rFonts w:ascii="Times New Roman"/>
                <w:b w:val="false"/>
                <w:i w:val="false"/>
                <w:color w:val="000000"/>
                <w:sz w:val="20"/>
              </w:rPr>
              <w:t>
Количество и номенклатура механизмов (изделий) буксирного устройства маломерного судна, а также расположение их на маломерном судне определяется при его проектировании в соответствии с конструктивными особенностями корпуса, спецификой его палубного оборудования и назначением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маломерные суда спроектированы и построены так, чтобы с учетом типа, назначения маломерных судов и условий их эксплуатации минимизировать риск падения человека за борт и обеспечить его поднятие из воды на борт. </w:t>
            </w:r>
          </w:p>
          <w:p>
            <w:pPr>
              <w:spacing w:after="20"/>
              <w:ind w:left="20"/>
              <w:jc w:val="both"/>
            </w:pPr>
            <w:r>
              <w:rPr>
                <w:rFonts w:ascii="Times New Roman"/>
                <w:b w:val="false"/>
                <w:i w:val="false"/>
                <w:color w:val="000000"/>
                <w:sz w:val="20"/>
              </w:rPr>
              <w:t>
Для защиты пассажиров и экипажа от опасности падения за борт на маломерных судах предусматриваются ограждения (фальшборт или леерное устройство), поручни, переходные мостики, сходные трапы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механической установкой маломерного судна бесперебойной эксплуатации во всех режимах, при допустимых для данной категории маломерных судов кренах и дифферентах, а мощность двигателя соответствовать расчетной мощности для данного типа маломерного судна, предусмотренной проектной документацией. </w:t>
            </w:r>
          </w:p>
          <w:p>
            <w:pPr>
              <w:spacing w:after="20"/>
              <w:ind w:left="20"/>
              <w:jc w:val="both"/>
            </w:pPr>
            <w:r>
              <w:rPr>
                <w:rFonts w:ascii="Times New Roman"/>
                <w:b w:val="false"/>
                <w:i w:val="false"/>
                <w:color w:val="000000"/>
                <w:sz w:val="20"/>
              </w:rPr>
              <w:t>
Моторные маломерные суда спроектированы так, чтобы отработанные газы двигателей содержали не более 4,8 % окиси углерода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конструкцией и расположением пусковых и реверсивных устройств маломерного судна возможности пуска и реверсирования каждого механизма одним человеком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место установки емкости для хранения газового топлива маломерного судна, предназначенного для работы главного двигателя, располагается на открытой палубе или в газопроницаемых отсеках, устроенных таким образом, чтобы при любой утечке газ уходил за борт. Крепление емкости исключать ее отрыв или перемещение при плавании в максимально возможных штормовых условиях для разрешенного маломерному судну района плавания. </w:t>
            </w:r>
          </w:p>
          <w:p>
            <w:pPr>
              <w:spacing w:after="20"/>
              <w:ind w:left="20"/>
              <w:jc w:val="both"/>
            </w:pPr>
            <w:r>
              <w:rPr>
                <w:rFonts w:ascii="Times New Roman"/>
                <w:b w:val="false"/>
                <w:i w:val="false"/>
                <w:color w:val="000000"/>
                <w:sz w:val="20"/>
              </w:rPr>
              <w:t>
Трубопроводы для подачи газа к двигателю обеспечивать герметичность во всех допустимых режимах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топливные танки маломерного судна, трубопроводы и шланги удалены и защищены от любого воздействия источников теплового излучения. Материал и конструкция танков соответствовать их требуемой емкости и типу топлива. Все топливные танки иметь надежную систему вентиляции, исключающую образование взрывоопасной воздушной смеси. </w:t>
            </w:r>
          </w:p>
          <w:p>
            <w:pPr>
              <w:spacing w:after="20"/>
              <w:ind w:left="20"/>
              <w:jc w:val="both"/>
            </w:pPr>
            <w:r>
              <w:rPr>
                <w:rFonts w:ascii="Times New Roman"/>
                <w:b w:val="false"/>
                <w:i w:val="false"/>
                <w:color w:val="000000"/>
                <w:sz w:val="20"/>
              </w:rPr>
              <w:t xml:space="preserve">
Жидкое топливо с точкой возгорания ниже 600С храниться в танках, которые не образуют общей части с корпусом судна (переносные) и быть: </w:t>
            </w:r>
          </w:p>
          <w:p>
            <w:pPr>
              <w:spacing w:after="20"/>
              <w:ind w:left="20"/>
              <w:jc w:val="both"/>
            </w:pPr>
            <w:r>
              <w:rPr>
                <w:rFonts w:ascii="Times New Roman"/>
                <w:b w:val="false"/>
                <w:i w:val="false"/>
                <w:color w:val="000000"/>
                <w:sz w:val="20"/>
              </w:rPr>
              <w:t xml:space="preserve">
1) защищены от воздействия источников теплового излучения; </w:t>
            </w:r>
          </w:p>
          <w:p>
            <w:pPr>
              <w:spacing w:after="20"/>
              <w:ind w:left="20"/>
              <w:jc w:val="both"/>
            </w:pPr>
            <w:r>
              <w:rPr>
                <w:rFonts w:ascii="Times New Roman"/>
                <w:b w:val="false"/>
                <w:i w:val="false"/>
                <w:color w:val="000000"/>
                <w:sz w:val="20"/>
              </w:rPr>
              <w:t>
2) отделены от жилых помещений.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нормы по внешней шумовой характеристике моторного маломерного судна эксплуатируемого в полосе на расстоянии менее 500 м от берега: уровень звука которого, для не скоростных маломерных судов не более 75 дБА, скоростных (скоростными маломерными судами считаются со скоростью свыше 40 км/час) - 78 дБА, с замерами внешней шумовой характеристики на расстоянии 25 метров от плоскости борта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допустимой мощности двигателей (стационарных и подвесных), устанавливаемых на моторных маломерных судах, проектной документации проектанта (строителя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осушительной системы (осушительных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санитарно-бытовых и жилых помещений маломерных судов санитарно-эпидемиологическим требованиям. </w:t>
            </w:r>
          </w:p>
          <w:p>
            <w:pPr>
              <w:spacing w:after="20"/>
              <w:ind w:left="20"/>
              <w:jc w:val="both"/>
            </w:pPr>
            <w:r>
              <w:rPr>
                <w:rFonts w:ascii="Times New Roman"/>
                <w:b w:val="false"/>
                <w:i w:val="false"/>
                <w:color w:val="000000"/>
                <w:sz w:val="20"/>
              </w:rPr>
              <w:t>
На маломерных судах, имеющих санитарно-бытовые помещения, предусматривается фановая система для сбора и удаления с маломерного судна сточных и фекальных вод, включающая в себя санитарное оборудование, необходимые трубопроводы (с гидравлическим затвором) и цистерну или съемные контейнеры для сбора сточных и фекальных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системой водоснабжения (при ее наличии) потребности допустимого количества людей на борту в питьевой воде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моторных маломерных судах укомплектованных противопожарных оборудований и имущества с учетом возможных причин возникновения пожаров. </w:t>
            </w:r>
          </w:p>
          <w:p>
            <w:pPr>
              <w:spacing w:after="20"/>
              <w:ind w:left="20"/>
              <w:jc w:val="both"/>
            </w:pPr>
            <w:r>
              <w:rPr>
                <w:rFonts w:ascii="Times New Roman"/>
                <w:b w:val="false"/>
                <w:i w:val="false"/>
                <w:color w:val="000000"/>
                <w:sz w:val="20"/>
              </w:rPr>
              <w:t xml:space="preserve">
Противопожарная система (средства борьбы с огнем) обеспечивает подачу огнегасителя под защитные кожуха двигателей без открытия или демонтажа защитных кожухов. </w:t>
            </w:r>
          </w:p>
          <w:p>
            <w:pPr>
              <w:spacing w:after="20"/>
              <w:ind w:left="20"/>
              <w:jc w:val="both"/>
            </w:pPr>
            <w:r>
              <w:rPr>
                <w:rFonts w:ascii="Times New Roman"/>
                <w:b w:val="false"/>
                <w:i w:val="false"/>
                <w:color w:val="000000"/>
                <w:sz w:val="20"/>
              </w:rPr>
              <w:t>
Противопожарное имущество размещаться в доступных, предназначенных для этих целей местах с нанесением соответствующей маркировки. Возле поста управления размещаться не менее одного огнетушителя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палубных маломерных судах естественной (принудительной) вентиляции машинных помещений и выгородок для размещения топливных баков (цистерн). </w:t>
            </w:r>
          </w:p>
          <w:p>
            <w:pPr>
              <w:spacing w:after="20"/>
              <w:ind w:left="20"/>
              <w:jc w:val="both"/>
            </w:pPr>
            <w:r>
              <w:rPr>
                <w:rFonts w:ascii="Times New Roman"/>
                <w:b w:val="false"/>
                <w:i w:val="false"/>
                <w:color w:val="000000"/>
                <w:sz w:val="20"/>
              </w:rPr>
              <w:t>
Закрытые машинные помещения с вентиляцией, обеспечивающие удаление скопившихся топливных паров до пуска двигателя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электрическое оборудование маломерного судна (если оно предусмотрено) надежно защищено от механических повреждений в процессе его эксплуатации, от воздействия внешней среды и быть безопасным в эксплуатации. </w:t>
            </w:r>
          </w:p>
          <w:p>
            <w:pPr>
              <w:spacing w:after="20"/>
              <w:ind w:left="20"/>
              <w:jc w:val="both"/>
            </w:pPr>
            <w:r>
              <w:rPr>
                <w:rFonts w:ascii="Times New Roman"/>
                <w:b w:val="false"/>
                <w:i w:val="false"/>
                <w:color w:val="000000"/>
                <w:sz w:val="20"/>
              </w:rPr>
              <w:t xml:space="preserve">
Обеспечить защиту всех электрических цепей от перегрузок и коротких замыканий. </w:t>
            </w:r>
          </w:p>
          <w:p>
            <w:pPr>
              <w:spacing w:after="20"/>
              <w:ind w:left="20"/>
              <w:jc w:val="both"/>
            </w:pPr>
            <w:r>
              <w:rPr>
                <w:rFonts w:ascii="Times New Roman"/>
                <w:b w:val="false"/>
                <w:i w:val="false"/>
                <w:color w:val="000000"/>
                <w:sz w:val="20"/>
              </w:rPr>
              <w:t xml:space="preserve">
Для предупреждения аккумуляции газов, выделяемых аккумуляторными батареями, обеспечена их вентиляция. На маломерном судне аккумуляторные батареи установлены в безопасном и защищенном от попадания воды месте. Пожароопасное и взрывоопасное оборудование сконструировано и расположено на судне таким образом, чтобы минимизировать риск возникновения пожара. </w:t>
            </w:r>
          </w:p>
          <w:p>
            <w:pPr>
              <w:spacing w:after="20"/>
              <w:ind w:left="20"/>
              <w:jc w:val="both"/>
            </w:pPr>
            <w:r>
              <w:rPr>
                <w:rFonts w:ascii="Times New Roman"/>
                <w:b w:val="false"/>
                <w:i w:val="false"/>
                <w:color w:val="000000"/>
                <w:sz w:val="20"/>
              </w:rPr>
              <w:t xml:space="preserve">
Конструкция пожароопасного и взрывоопасного оборудования и его расположение на судне направлены на предотвращение возникновения и распространения пожара, особое внимание обращается на: оборудование с открытым пламенем; нагревающимся поверхностям; двигателям и вспомогательным установкам; переливу топлива и масла; незакрытым топливным и масляным трубопроводам. </w:t>
            </w:r>
          </w:p>
          <w:p>
            <w:pPr>
              <w:spacing w:after="20"/>
              <w:ind w:left="20"/>
              <w:jc w:val="both"/>
            </w:pPr>
            <w:r>
              <w:rPr>
                <w:rFonts w:ascii="Times New Roman"/>
                <w:b w:val="false"/>
                <w:i w:val="false"/>
                <w:color w:val="000000"/>
                <w:sz w:val="20"/>
              </w:rPr>
              <w:t>
Запрещается прокладывать электрическую проводку над нагревающимися частями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всех стационарных двигателях маломерных судов защитных кожухов с отделением от жилых помещений судна, чтобы минимизировать риск возникновения и распространения пожара, а также исключить несчастные случаи с людьми в результате: отравления токсичными выхлопными газами и дымом, воздействия теплового излучения нагретых поверхностей, шума и вибрации на людей в жилых помещениях. </w:t>
            </w:r>
          </w:p>
          <w:p>
            <w:pPr>
              <w:spacing w:after="20"/>
              <w:ind w:left="20"/>
              <w:jc w:val="both"/>
            </w:pPr>
            <w:r>
              <w:rPr>
                <w:rFonts w:ascii="Times New Roman"/>
                <w:b w:val="false"/>
                <w:i w:val="false"/>
                <w:color w:val="000000"/>
                <w:sz w:val="20"/>
              </w:rPr>
              <w:t xml:space="preserve">
Элементы двигателя маломерного судна, требующие частого осмотра и технического обслуживания легко доступны, изоляционные материалы внутри машинного отсека негорючими. </w:t>
            </w:r>
          </w:p>
          <w:p>
            <w:pPr>
              <w:spacing w:after="20"/>
              <w:ind w:left="20"/>
              <w:jc w:val="both"/>
            </w:pPr>
            <w:r>
              <w:rPr>
                <w:rFonts w:ascii="Times New Roman"/>
                <w:b w:val="false"/>
                <w:i w:val="false"/>
                <w:color w:val="000000"/>
                <w:sz w:val="20"/>
              </w:rPr>
              <w:t xml:space="preserve">
Наружные раскаленные или движущиеся части стационарного двигателя, нагреваемые выше 600С, надежно прикрыты кожухом (крышкой), чтобы не причинять вреда персоналу. </w:t>
            </w:r>
          </w:p>
          <w:p>
            <w:pPr>
              <w:spacing w:after="20"/>
              <w:ind w:left="20"/>
              <w:jc w:val="both"/>
            </w:pPr>
            <w:r>
              <w:rPr>
                <w:rFonts w:ascii="Times New Roman"/>
                <w:b w:val="false"/>
                <w:i w:val="false"/>
                <w:color w:val="000000"/>
                <w:sz w:val="20"/>
              </w:rPr>
              <w:t>
Устройства для заправки, хранения, вентиляции и подачи топлива разработаны таким образом, чтобы свести к минимуму риск возникновения пожара и взрыва на судне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средств связи и навигации.</w:t>
            </w:r>
          </w:p>
          <w:p>
            <w:pPr>
              <w:spacing w:after="20"/>
              <w:ind w:left="20"/>
              <w:jc w:val="both"/>
            </w:pPr>
            <w:r>
              <w:rPr>
                <w:rFonts w:ascii="Times New Roman"/>
                <w:b w:val="false"/>
                <w:i w:val="false"/>
                <w:color w:val="000000"/>
                <w:sz w:val="20"/>
              </w:rPr>
              <w:t>
Судовое навигационное оборудование и навигационное снабжение непрерывно обеспечивать судоводителя достоверной информацией о местоположении, курсе и скорости судна, а также информацией, позволяющей безопасно управлять маломерным судом в предписанных районах и условиях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оборудованных средствами связи и навигации для энергопитания радиооборудования, не менее двух источников электрической энергии: основного и резервного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маломерных судов, используемых в морских районах 0 – III категорий сложности районов плавания, предусматривает возможность установки аппаратуры спутниковой навигации (в том числе - ГЛОНАСС или ГЛОНАСС совместно с GPS) и ее функционирование. </w:t>
            </w:r>
          </w:p>
          <w:p>
            <w:pPr>
              <w:spacing w:after="20"/>
              <w:ind w:left="20"/>
              <w:jc w:val="both"/>
            </w:pPr>
            <w:r>
              <w:rPr>
                <w:rFonts w:ascii="Times New Roman"/>
                <w:b w:val="false"/>
                <w:i w:val="false"/>
                <w:color w:val="000000"/>
                <w:sz w:val="20"/>
              </w:rPr>
              <w:t xml:space="preserve">
Все маломерные суда, используемые в морских районах 0 – IV категорий сложности районов плавания, иметь средства связи, обеспечивающие 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маломерного судна, штормовые предупреждения и оповещения. </w:t>
            </w:r>
          </w:p>
          <w:p>
            <w:pPr>
              <w:spacing w:after="20"/>
              <w:ind w:left="20"/>
              <w:jc w:val="both"/>
            </w:pPr>
            <w:r>
              <w:rPr>
                <w:rFonts w:ascii="Times New Roman"/>
                <w:b w:val="false"/>
                <w:i w:val="false"/>
                <w:color w:val="000000"/>
                <w:sz w:val="20"/>
              </w:rPr>
              <w:t>
Радиоаппаратура маломерного судна изготовлена в водозащищенном исполнении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используемых в морских районах плавания, магнитного компаса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спроектированных на эксплуатацию на внутренних судоходных путях в условиях ограниченной видимости (менее 1000 метров) и в ночное время независимо от района их эксплуатации, радиолокационной станции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спасательных и сигнальных средств в зависимости от категории маломерного судна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проектант подготавливает, а строитель маломерного судна снабжает каждое маломерное судно эксплуатационной документацией, в состав которой помимо чертежей (общего расположения конструкций, необходимых в эксплуатации чертежей), схем (противопожарных систем, изоляции, покрытия, расположения, снабжения, спасательных средств, электрических соединений, радиоэлектронных средств, навигационного оборудования, автоматики, сигнализации и аварийной защиты схем) и руководств (инструкций) по эксплуатации технических средств маломерных судов входит информация о посадке и остойчивости, непотопляемости маломерного судна, сведения о маневренных характеристиках, схема и инструкция по борьбе за живучесть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взрывчатые вещества, изделия на их основе технической документации. </w:t>
            </w:r>
          </w:p>
          <w:p>
            <w:pPr>
              <w:spacing w:after="20"/>
              <w:ind w:left="20"/>
              <w:jc w:val="both"/>
            </w:pPr>
            <w:r>
              <w:rPr>
                <w:rFonts w:ascii="Times New Roman"/>
                <w:b w:val="false"/>
                <w:i w:val="false"/>
                <w:color w:val="000000"/>
                <w:sz w:val="20"/>
              </w:rPr>
              <w:t>
В технической документации на взрывчатые вещества и изделия на их основе указаны характеристики, влияющие на их безопасность (при изготовлении, хранении, транспортировании (перевозке), применении), требования к упаковке и таре, приведена информация о маркировке взрывчатого вещества, а также указаны показатели, по которым осуществляется входной контроль потребителем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руководства (инструкции) по применению взрывчатых веществ следующей информации:</w:t>
            </w:r>
          </w:p>
          <w:p>
            <w:pPr>
              <w:spacing w:after="20"/>
              <w:ind w:left="20"/>
              <w:jc w:val="both"/>
            </w:pPr>
            <w:r>
              <w:rPr>
                <w:rFonts w:ascii="Times New Roman"/>
                <w:b w:val="false"/>
                <w:i w:val="false"/>
                <w:color w:val="000000"/>
                <w:sz w:val="20"/>
              </w:rPr>
              <w:t>
1) наименование и условное обозначение взрывчатых веществ и изделий на их основе;</w:t>
            </w:r>
          </w:p>
          <w:p>
            <w:pPr>
              <w:spacing w:after="20"/>
              <w:ind w:left="20"/>
              <w:jc w:val="both"/>
            </w:pPr>
            <w:r>
              <w:rPr>
                <w:rFonts w:ascii="Times New Roman"/>
                <w:b w:val="false"/>
                <w:i w:val="false"/>
                <w:color w:val="000000"/>
                <w:sz w:val="20"/>
              </w:rPr>
              <w:t>
2) назначение и область применения;</w:t>
            </w:r>
          </w:p>
          <w:p>
            <w:pPr>
              <w:spacing w:after="20"/>
              <w:ind w:left="20"/>
              <w:jc w:val="both"/>
            </w:pPr>
            <w:r>
              <w:rPr>
                <w:rFonts w:ascii="Times New Roman"/>
                <w:b w:val="false"/>
                <w:i w:val="false"/>
                <w:color w:val="000000"/>
                <w:sz w:val="20"/>
              </w:rPr>
              <w:t>
3) комплектность поставки;</w:t>
            </w:r>
          </w:p>
          <w:p>
            <w:pPr>
              <w:spacing w:after="20"/>
              <w:ind w:left="20"/>
              <w:jc w:val="both"/>
            </w:pPr>
            <w:r>
              <w:rPr>
                <w:rFonts w:ascii="Times New Roman"/>
                <w:b w:val="false"/>
                <w:i w:val="false"/>
                <w:color w:val="000000"/>
                <w:sz w:val="20"/>
              </w:rPr>
              <w:t>
4) 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p>
          <w:p>
            <w:pPr>
              <w:spacing w:after="20"/>
              <w:ind w:left="20"/>
              <w:jc w:val="both"/>
            </w:pPr>
            <w:r>
              <w:rPr>
                <w:rFonts w:ascii="Times New Roman"/>
                <w:b w:val="false"/>
                <w:i w:val="false"/>
                <w:color w:val="000000"/>
                <w:sz w:val="20"/>
              </w:rPr>
              <w:t>
5) показатели пожаровзрывоопасности и электростатической опасности;</w:t>
            </w:r>
          </w:p>
          <w:p>
            <w:pPr>
              <w:spacing w:after="20"/>
              <w:ind w:left="20"/>
              <w:jc w:val="both"/>
            </w:pPr>
            <w:r>
              <w:rPr>
                <w:rFonts w:ascii="Times New Roman"/>
                <w:b w:val="false"/>
                <w:i w:val="false"/>
                <w:color w:val="000000"/>
                <w:sz w:val="20"/>
              </w:rPr>
              <w:t>
6) описание упаковки и (при необходимости) порядок ее вскрытия и уничтожения (или возврата) после применения;</w:t>
            </w:r>
          </w:p>
          <w:p>
            <w:pPr>
              <w:spacing w:after="20"/>
              <w:ind w:left="20"/>
              <w:jc w:val="both"/>
            </w:pPr>
            <w:r>
              <w:rPr>
                <w:rFonts w:ascii="Times New Roman"/>
                <w:b w:val="false"/>
                <w:i w:val="false"/>
                <w:color w:val="000000"/>
                <w:sz w:val="20"/>
              </w:rPr>
              <w:t>
7) указание класса опасности груза и группы совместимости;</w:t>
            </w:r>
          </w:p>
          <w:p>
            <w:pPr>
              <w:spacing w:after="20"/>
              <w:ind w:left="20"/>
              <w:jc w:val="both"/>
            </w:pPr>
            <w:r>
              <w:rPr>
                <w:rFonts w:ascii="Times New Roman"/>
                <w:b w:val="false"/>
                <w:i w:val="false"/>
                <w:color w:val="000000"/>
                <w:sz w:val="20"/>
              </w:rPr>
              <w:t>
8) применение механизированных операций на складах и на месте применения с указанием способа механизации;</w:t>
            </w:r>
          </w:p>
          <w:p>
            <w:pPr>
              <w:spacing w:after="20"/>
              <w:ind w:left="20"/>
              <w:jc w:val="both"/>
            </w:pPr>
            <w:r>
              <w:rPr>
                <w:rFonts w:ascii="Times New Roman"/>
                <w:b w:val="false"/>
                <w:i w:val="false"/>
                <w:color w:val="000000"/>
                <w:sz w:val="20"/>
              </w:rPr>
              <w:t>
9) порядок возврата неиспользованных взрывчатых веществ и изделий на их основе на склад;</w:t>
            </w:r>
          </w:p>
          <w:p>
            <w:pPr>
              <w:spacing w:after="20"/>
              <w:ind w:left="20"/>
              <w:jc w:val="both"/>
            </w:pPr>
            <w:r>
              <w:rPr>
                <w:rFonts w:ascii="Times New Roman"/>
                <w:b w:val="false"/>
                <w:i w:val="false"/>
                <w:color w:val="000000"/>
                <w:sz w:val="20"/>
              </w:rPr>
              <w:t>
10) требования безопасности при обращении с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p>
          <w:p>
            <w:pPr>
              <w:spacing w:after="20"/>
              <w:ind w:left="20"/>
              <w:jc w:val="both"/>
            </w:pPr>
            <w:r>
              <w:rPr>
                <w:rFonts w:ascii="Times New Roman"/>
                <w:b w:val="false"/>
                <w:i w:val="false"/>
                <w:color w:val="000000"/>
                <w:sz w:val="20"/>
              </w:rPr>
              <w:t>
11) способ размещения взрывчатого вещества или изделия в шпуре или скважине;</w:t>
            </w:r>
          </w:p>
          <w:p>
            <w:pPr>
              <w:spacing w:after="20"/>
              <w:ind w:left="20"/>
              <w:jc w:val="both"/>
            </w:pPr>
            <w:r>
              <w:rPr>
                <w:rFonts w:ascii="Times New Roman"/>
                <w:b w:val="false"/>
                <w:i w:val="false"/>
                <w:color w:val="000000"/>
                <w:sz w:val="20"/>
              </w:rPr>
              <w:t>
12) способ инициирования;</w:t>
            </w:r>
          </w:p>
          <w:p>
            <w:pPr>
              <w:spacing w:after="20"/>
              <w:ind w:left="20"/>
              <w:jc w:val="both"/>
            </w:pPr>
            <w:r>
              <w:rPr>
                <w:rFonts w:ascii="Times New Roman"/>
                <w:b w:val="false"/>
                <w:i w:val="false"/>
                <w:color w:val="000000"/>
                <w:sz w:val="20"/>
              </w:rPr>
              <w:t>
13) характеристики взрывчатых веществ и изделий на их основе, проверяемые при поступлении на склад потребителя, и в период хранения на складе;</w:t>
            </w:r>
          </w:p>
          <w:p>
            <w:pPr>
              <w:spacing w:after="20"/>
              <w:ind w:left="20"/>
              <w:jc w:val="both"/>
            </w:pPr>
            <w:r>
              <w:rPr>
                <w:rFonts w:ascii="Times New Roman"/>
                <w:b w:val="false"/>
                <w:i w:val="false"/>
                <w:color w:val="000000"/>
                <w:sz w:val="20"/>
              </w:rPr>
              <w:t>
14) условия хранения, гарантийный срок хранения, меры, принимаемые после истечения гарантийного срока хранения, порядок и методы уничтожения;</w:t>
            </w:r>
          </w:p>
          <w:p>
            <w:pPr>
              <w:spacing w:after="20"/>
              <w:ind w:left="20"/>
              <w:jc w:val="both"/>
            </w:pPr>
            <w:r>
              <w:rPr>
                <w:rFonts w:ascii="Times New Roman"/>
                <w:b w:val="false"/>
                <w:i w:val="false"/>
                <w:color w:val="000000"/>
                <w:sz w:val="20"/>
              </w:rPr>
              <w:t>
15) требования к квалификации персонала;</w:t>
            </w:r>
          </w:p>
          <w:p>
            <w:pPr>
              <w:spacing w:after="20"/>
              <w:ind w:left="20"/>
              <w:jc w:val="both"/>
            </w:pPr>
            <w:r>
              <w:rPr>
                <w:rFonts w:ascii="Times New Roman"/>
                <w:b w:val="false"/>
                <w:i w:val="false"/>
                <w:color w:val="000000"/>
                <w:sz w:val="20"/>
              </w:rPr>
              <w:t>
16) порядок действия персонала при аварийных ситуациях;</w:t>
            </w:r>
          </w:p>
          <w:p>
            <w:pPr>
              <w:spacing w:after="20"/>
              <w:ind w:left="20"/>
              <w:jc w:val="both"/>
            </w:pPr>
            <w:r>
              <w:rPr>
                <w:rFonts w:ascii="Times New Roman"/>
                <w:b w:val="false"/>
                <w:i w:val="false"/>
                <w:color w:val="000000"/>
                <w:sz w:val="20"/>
              </w:rPr>
              <w:t>
порядок ликвидации отказов.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взрывчатых веществ перечню показателей, необходимых для оценки безопасности при их разработке по следующим показателям:</w:t>
            </w:r>
          </w:p>
          <w:p>
            <w:pPr>
              <w:spacing w:after="20"/>
              <w:ind w:left="20"/>
              <w:jc w:val="both"/>
            </w:pPr>
            <w:r>
              <w:rPr>
                <w:rFonts w:ascii="Times New Roman"/>
                <w:b w:val="false"/>
                <w:i w:val="false"/>
                <w:color w:val="000000"/>
                <w:sz w:val="20"/>
              </w:rPr>
              <w:t>
1) чувствительность к удару;</w:t>
            </w:r>
          </w:p>
          <w:p>
            <w:pPr>
              <w:spacing w:after="20"/>
              <w:ind w:left="20"/>
              <w:jc w:val="both"/>
            </w:pPr>
            <w:r>
              <w:rPr>
                <w:rFonts w:ascii="Times New Roman"/>
                <w:b w:val="false"/>
                <w:i w:val="false"/>
                <w:color w:val="000000"/>
                <w:sz w:val="20"/>
              </w:rPr>
              <w:t>
2) чувствительность к трению;</w:t>
            </w:r>
          </w:p>
          <w:p>
            <w:pPr>
              <w:spacing w:after="20"/>
              <w:ind w:left="20"/>
              <w:jc w:val="both"/>
            </w:pPr>
            <w:r>
              <w:rPr>
                <w:rFonts w:ascii="Times New Roman"/>
                <w:b w:val="false"/>
                <w:i w:val="false"/>
                <w:color w:val="000000"/>
                <w:sz w:val="20"/>
              </w:rPr>
              <w:t>
3) тротиловый эквивалент;</w:t>
            </w:r>
          </w:p>
          <w:p>
            <w:pPr>
              <w:spacing w:after="20"/>
              <w:ind w:left="20"/>
              <w:jc w:val="both"/>
            </w:pPr>
            <w:r>
              <w:rPr>
                <w:rFonts w:ascii="Times New Roman"/>
                <w:b w:val="false"/>
                <w:i w:val="false"/>
                <w:color w:val="000000"/>
                <w:sz w:val="20"/>
              </w:rPr>
              <w:t>
4) критический диаметр детонации;</w:t>
            </w:r>
          </w:p>
          <w:p>
            <w:pPr>
              <w:spacing w:after="20"/>
              <w:ind w:left="20"/>
              <w:jc w:val="both"/>
            </w:pPr>
            <w:r>
              <w:rPr>
                <w:rFonts w:ascii="Times New Roman"/>
                <w:b w:val="false"/>
                <w:i w:val="false"/>
                <w:color w:val="000000"/>
                <w:sz w:val="20"/>
              </w:rPr>
              <w:t>
5) минимальный инициирующий импульс;</w:t>
            </w:r>
          </w:p>
          <w:p>
            <w:pPr>
              <w:spacing w:after="20"/>
              <w:ind w:left="20"/>
              <w:jc w:val="both"/>
            </w:pPr>
            <w:r>
              <w:rPr>
                <w:rFonts w:ascii="Times New Roman"/>
                <w:b w:val="false"/>
                <w:i w:val="false"/>
                <w:color w:val="000000"/>
                <w:sz w:val="20"/>
              </w:rPr>
              <w:t>
6) термическая стойкость;</w:t>
            </w:r>
          </w:p>
          <w:p>
            <w:pPr>
              <w:spacing w:after="20"/>
              <w:ind w:left="20"/>
              <w:jc w:val="both"/>
            </w:pPr>
            <w:r>
              <w:rPr>
                <w:rFonts w:ascii="Times New Roman"/>
                <w:b w:val="false"/>
                <w:i w:val="false"/>
                <w:color w:val="000000"/>
                <w:sz w:val="20"/>
              </w:rPr>
              <w:t>
7) удельное объемное электрическое сопротивление (у водосодержащих взрывчатых веществ только для эмульсионных веществ);</w:t>
            </w:r>
          </w:p>
          <w:p>
            <w:pPr>
              <w:spacing w:after="20"/>
              <w:ind w:left="20"/>
              <w:jc w:val="both"/>
            </w:pPr>
            <w:r>
              <w:rPr>
                <w:rFonts w:ascii="Times New Roman"/>
                <w:b w:val="false"/>
                <w:i w:val="false"/>
                <w:color w:val="000000"/>
                <w:sz w:val="20"/>
              </w:rPr>
              <w:t>
8) объем вредных газов в продуктах взрыва;</w:t>
            </w:r>
          </w:p>
          <w:p>
            <w:pPr>
              <w:spacing w:after="20"/>
              <w:ind w:left="20"/>
              <w:jc w:val="both"/>
            </w:pPr>
            <w:r>
              <w:rPr>
                <w:rFonts w:ascii="Times New Roman"/>
                <w:b w:val="false"/>
                <w:i w:val="false"/>
                <w:color w:val="000000"/>
                <w:sz w:val="20"/>
              </w:rPr>
              <w:t>
9) критическая плотность;</w:t>
            </w:r>
          </w:p>
          <w:p>
            <w:pPr>
              <w:spacing w:after="20"/>
              <w:ind w:left="20"/>
              <w:jc w:val="both"/>
            </w:pPr>
            <w:r>
              <w:rPr>
                <w:rFonts w:ascii="Times New Roman"/>
                <w:b w:val="false"/>
                <w:i w:val="false"/>
                <w:color w:val="000000"/>
                <w:sz w:val="20"/>
              </w:rPr>
              <w:t>
10) совместимость с конструкционными материалами;</w:t>
            </w:r>
          </w:p>
          <w:p>
            <w:pPr>
              <w:spacing w:after="20"/>
              <w:ind w:left="20"/>
              <w:jc w:val="both"/>
            </w:pPr>
            <w:r>
              <w:rPr>
                <w:rFonts w:ascii="Times New Roman"/>
                <w:b w:val="false"/>
                <w:i w:val="false"/>
                <w:color w:val="000000"/>
                <w:sz w:val="20"/>
              </w:rPr>
              <w:t>
11) предохранительные свойства;</w:t>
            </w:r>
          </w:p>
          <w:p>
            <w:pPr>
              <w:spacing w:after="20"/>
              <w:ind w:left="20"/>
              <w:jc w:val="both"/>
            </w:pPr>
            <w:r>
              <w:rPr>
                <w:rFonts w:ascii="Times New Roman"/>
                <w:b w:val="false"/>
                <w:i w:val="false"/>
                <w:color w:val="000000"/>
                <w:sz w:val="20"/>
              </w:rPr>
              <w:t>
12) совместимость с агрессивными средами (для взрывчатых веществ, применяемых в сульфидных месторождениях);</w:t>
            </w:r>
          </w:p>
          <w:p>
            <w:pPr>
              <w:spacing w:after="20"/>
              <w:ind w:left="20"/>
              <w:jc w:val="both"/>
            </w:pPr>
            <w:r>
              <w:rPr>
                <w:rFonts w:ascii="Times New Roman"/>
                <w:b w:val="false"/>
                <w:i w:val="false"/>
                <w:color w:val="000000"/>
                <w:sz w:val="20"/>
              </w:rPr>
              <w:t>
17) водоустойчивость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допускаются для применения взрывчатые вещества, по результатам испытаний которых на чувствительность к удару нижний предел составляет менее 100 мм, а при испытаниях на чувствительность к трению нижний предел менее 200 МПа;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взрывчатым веществам, при котором эмульсия нитрата аммония имеет плотность выше значения, при котором она может быть отнесена к классу 1 по методам испытания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различные группы изделий на основе взрывчатых веществ при предусмотренных в технической документации условиях (изготовления, упаковки, транспортирования, хранения, применения) соответствуют нижеследующему:</w:t>
            </w:r>
          </w:p>
          <w:p>
            <w:pPr>
              <w:spacing w:after="20"/>
              <w:ind w:left="20"/>
              <w:jc w:val="both"/>
            </w:pPr>
            <w:r>
              <w:rPr>
                <w:rFonts w:ascii="Times New Roman"/>
                <w:b w:val="false"/>
                <w:i w:val="false"/>
                <w:color w:val="000000"/>
                <w:sz w:val="20"/>
              </w:rPr>
              <w:t>
1) исключать возможность преждевременного взрыва;</w:t>
            </w:r>
          </w:p>
          <w:p>
            <w:pPr>
              <w:spacing w:after="20"/>
              <w:ind w:left="20"/>
              <w:jc w:val="both"/>
            </w:pPr>
            <w:r>
              <w:rPr>
                <w:rFonts w:ascii="Times New Roman"/>
                <w:b w:val="false"/>
                <w:i w:val="false"/>
                <w:color w:val="000000"/>
                <w:sz w:val="20"/>
              </w:rPr>
              <w:t>
2) надежно детонировать от средств инициирования;</w:t>
            </w:r>
          </w:p>
          <w:p>
            <w:pPr>
              <w:spacing w:after="20"/>
              <w:ind w:left="20"/>
              <w:jc w:val="both"/>
            </w:pPr>
            <w:r>
              <w:rPr>
                <w:rFonts w:ascii="Times New Roman"/>
                <w:b w:val="false"/>
                <w:i w:val="false"/>
                <w:color w:val="000000"/>
                <w:sz w:val="20"/>
              </w:rPr>
              <w:t>
3) обеспечивать передачу детонации от изделия к изделию с учетом условий их размещения при применении;</w:t>
            </w:r>
          </w:p>
          <w:p>
            <w:pPr>
              <w:spacing w:after="20"/>
              <w:ind w:left="20"/>
              <w:jc w:val="both"/>
            </w:pPr>
            <w:r>
              <w:rPr>
                <w:rFonts w:ascii="Times New Roman"/>
                <w:b w:val="false"/>
                <w:i w:val="false"/>
                <w:color w:val="000000"/>
                <w:sz w:val="20"/>
              </w:rPr>
              <w:t>
4) обеспечивать достаточную прочность оболочки или корпуса, исключающую их повреждение при механических нагрузках;</w:t>
            </w:r>
          </w:p>
          <w:p>
            <w:pPr>
              <w:spacing w:after="20"/>
              <w:ind w:left="20"/>
              <w:jc w:val="both"/>
            </w:pPr>
            <w:r>
              <w:rPr>
                <w:rFonts w:ascii="Times New Roman"/>
                <w:b w:val="false"/>
                <w:i w:val="false"/>
                <w:color w:val="000000"/>
                <w:sz w:val="20"/>
              </w:rPr>
              <w:t>
5) обеспечивать требуемую водостойкость;</w:t>
            </w:r>
          </w:p>
          <w:p>
            <w:pPr>
              <w:spacing w:after="20"/>
              <w:ind w:left="20"/>
              <w:jc w:val="both"/>
            </w:pPr>
            <w:r>
              <w:rPr>
                <w:rFonts w:ascii="Times New Roman"/>
                <w:b w:val="false"/>
                <w:i w:val="false"/>
                <w:color w:val="000000"/>
                <w:sz w:val="20"/>
              </w:rPr>
              <w:t>
6) исключать инициирование взрыва взрывоопасной среды, если они разработаны и изготовлены для применения в ней;</w:t>
            </w:r>
          </w:p>
          <w:p>
            <w:pPr>
              <w:spacing w:after="20"/>
              <w:ind w:left="20"/>
              <w:jc w:val="both"/>
            </w:pPr>
            <w:r>
              <w:rPr>
                <w:rFonts w:ascii="Times New Roman"/>
                <w:b w:val="false"/>
                <w:i w:val="false"/>
                <w:color w:val="000000"/>
                <w:sz w:val="20"/>
              </w:rPr>
              <w:t>
7) обеспечивать сохранение нормируемых характеристик в интервале эксплуатационных температур;</w:t>
            </w:r>
          </w:p>
          <w:p>
            <w:pPr>
              <w:spacing w:after="20"/>
              <w:ind w:left="20"/>
              <w:jc w:val="both"/>
            </w:pPr>
            <w:r>
              <w:rPr>
                <w:rFonts w:ascii="Times New Roman"/>
                <w:b w:val="false"/>
                <w:i w:val="false"/>
                <w:color w:val="000000"/>
                <w:sz w:val="20"/>
              </w:rPr>
              <w:t>
8) обеспечивать сохранение нормируемых характеристик в течение гарантийного срока хранения;</w:t>
            </w:r>
          </w:p>
          <w:p>
            <w:pPr>
              <w:spacing w:after="20"/>
              <w:ind w:left="20"/>
              <w:jc w:val="both"/>
            </w:pPr>
            <w:r>
              <w:rPr>
                <w:rFonts w:ascii="Times New Roman"/>
                <w:b w:val="false"/>
                <w:i w:val="false"/>
                <w:color w:val="000000"/>
                <w:sz w:val="20"/>
              </w:rPr>
              <w:t>
9) обеспечивать стойкость к статическому электричеству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для электродетонаторов и волноводов взрывчатых веществ следующим характеристикам:</w:t>
            </w:r>
          </w:p>
          <w:p>
            <w:pPr>
              <w:spacing w:after="20"/>
              <w:ind w:left="20"/>
              <w:jc w:val="both"/>
            </w:pPr>
            <w:r>
              <w:rPr>
                <w:rFonts w:ascii="Times New Roman"/>
                <w:b w:val="false"/>
                <w:i w:val="false"/>
                <w:color w:val="000000"/>
                <w:sz w:val="20"/>
              </w:rPr>
              <w:t>
1) значение безопасного тока не менее 0,18 А;</w:t>
            </w:r>
          </w:p>
          <w:p>
            <w:pPr>
              <w:spacing w:after="20"/>
              <w:ind w:left="20"/>
              <w:jc w:val="both"/>
            </w:pPr>
            <w:r>
              <w:rPr>
                <w:rFonts w:ascii="Times New Roman"/>
                <w:b w:val="false"/>
                <w:i w:val="false"/>
                <w:color w:val="000000"/>
                <w:sz w:val="20"/>
              </w:rPr>
              <w:t>
2) длительный воспламеняющий ток не менее 0,22 А; безопасный импульс воспламенения не менее 0,6 А2.мс;</w:t>
            </w:r>
          </w:p>
          <w:p>
            <w:pPr>
              <w:spacing w:after="20"/>
              <w:ind w:left="20"/>
              <w:jc w:val="both"/>
            </w:pPr>
            <w:r>
              <w:rPr>
                <w:rFonts w:ascii="Times New Roman"/>
                <w:b w:val="false"/>
                <w:i w:val="false"/>
                <w:color w:val="000000"/>
                <w:sz w:val="20"/>
              </w:rPr>
              <w:t>
3) волноводы (ударные трубки) неэлектрических систем инициирования не возбуждать детонацию боковой поверхностью контактирующих с ней взрывчатых веществ и средств инициирования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методов контроля для показателей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изготавливаются при наличии разрешения на постоянное применение, выданного одним из уполномоченных органов в области промышленной безопасности государства – члена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обладают техническими характеристиками, чтобы гарантировать их максимально возможную степень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изготовление взрывчатых веществ и изделий на их основе осуществляется в соответствии с технической документацией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 технологическом регламенте предусмотрены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выпускаемых взрывчатых веществ и изделий на их основе, указаны в технологическом регламенте, конструкторской документации с точностью, обеспечивающей воспроизводимость их характеристик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изготавливаемых взрывчатых веществ и изделий на их основе, документированы при их изготовлении. Срок хранения документированных записей не меньше гарантийного срока хранения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изготовитель взрывчатых веществ и изделий на их основе проводит необходимые испытания (измерения), предусмотренные технической документацией на эти взрывчатые вещества и изделия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организация технологических процессов исключает возможность попадания в готовые взрывчатые вещества и изделия на их основе веществ, предметов, влияющих на их свойства, безопасность при их перевозке (транспортировании), хранении, применении, а также исключает возможность смешения бракованных взрывчатых веществ и изделий на их основе, отходов производства с готовыми взрывчатыми веществами и изделиями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прочной упаковки, полностью исключающей утечку или просыпание взрывчатых веществ или выпадение изделий, обеспечивающую их сохранность и безопасность в процессе перевозки (транспортирования) всеми видами транспорта в любых климатических условиях, в том числе при погрузочно-разгрузочных работах, а также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взрывчатых веществ и изделий на их основе с истекшим гарантийным сроком хранения без испытаний, предусмотренных технической документацией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перевозки (транспортирования) взрывчатых веществ и изделий на их основе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при хранении взрывчатых веществ и изделий на их основе следующим условиям:</w:t>
            </w:r>
          </w:p>
          <w:p>
            <w:pPr>
              <w:spacing w:after="20"/>
              <w:ind w:left="20"/>
              <w:jc w:val="both"/>
            </w:pPr>
            <w:r>
              <w:rPr>
                <w:rFonts w:ascii="Times New Roman"/>
                <w:b w:val="false"/>
                <w:i w:val="false"/>
                <w:color w:val="000000"/>
                <w:sz w:val="20"/>
              </w:rPr>
              <w:t>
1) условия хранения исключают влияние окружающей среды на характеристики взрывчатых веществ и изделий на их основе и соответствуют требованиям нормативной, технической документации, в том числе руководству (инструкции) по применению;</w:t>
            </w:r>
          </w:p>
          <w:p>
            <w:pPr>
              <w:spacing w:after="20"/>
              <w:ind w:left="20"/>
              <w:jc w:val="both"/>
            </w:pPr>
            <w:r>
              <w:rPr>
                <w:rFonts w:ascii="Times New Roman"/>
                <w:b w:val="false"/>
                <w:i w:val="false"/>
                <w:color w:val="000000"/>
                <w:sz w:val="20"/>
              </w:rPr>
              <w:t>
2) взрывчатые вещества и изделия на их основе на складах размещены с учетом их совместимости при хранении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временное хранение на складах, пришедших в негодность и бракованных взрывчатых веществ и изделий на их основе, осуществляется только в специально выделенном месте, обозначенном предупредительной надписью "ВНИМАНИЕ БРАК". На упаковку с пришедшими в негодность и бракованными взрывчатыми веществами и изделиями на их основе крепится табличка с аналогичной надписью (аналогичная надпись наносится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и уничтожение взрывчатых веществ и изделий на их основе при несоответствии показателей, полученных в результате испытаний, показателям, указанным в технической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и продуктов, полученных в результате переработки (утилизации) отработанной продукции (смазочные материалы, масла и специальные жидкости, полученные в результате переработки (утилизации) отработанной продукции), требованиям к характеристикам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продукции смазочных материалов, масел и специальных жидкостей при котором упакованная продукция содержит:</w:t>
            </w:r>
          </w:p>
          <w:p>
            <w:pPr>
              <w:spacing w:after="20"/>
              <w:ind w:left="20"/>
              <w:jc w:val="both"/>
            </w:pPr>
            <w:r>
              <w:rPr>
                <w:rFonts w:ascii="Times New Roman"/>
                <w:b w:val="false"/>
                <w:i w:val="false"/>
                <w:color w:val="000000"/>
                <w:sz w:val="20"/>
              </w:rPr>
              <w:t>
1) наименование и местонахождение (юридический адрес, включая страну) изготовителя, его товарный знак (при наличии);</w:t>
            </w:r>
          </w:p>
          <w:p>
            <w:pPr>
              <w:spacing w:after="20"/>
              <w:ind w:left="20"/>
              <w:jc w:val="both"/>
            </w:pPr>
            <w:r>
              <w:rPr>
                <w:rFonts w:ascii="Times New Roman"/>
                <w:b w:val="false"/>
                <w:i w:val="false"/>
                <w:color w:val="000000"/>
                <w:sz w:val="20"/>
              </w:rPr>
              <w:t>
2) наименование, обозначение марки и назначение продукции;</w:t>
            </w:r>
          </w:p>
          <w:p>
            <w:pPr>
              <w:spacing w:after="20"/>
              <w:ind w:left="20"/>
              <w:jc w:val="both"/>
            </w:pPr>
            <w:r>
              <w:rPr>
                <w:rFonts w:ascii="Times New Roman"/>
                <w:b w:val="false"/>
                <w:i w:val="false"/>
                <w:color w:val="000000"/>
                <w:sz w:val="20"/>
              </w:rPr>
              <w:t>
3) обозначение документа, в соответствии с которым производится (при наличии);</w:t>
            </w:r>
          </w:p>
          <w:p>
            <w:pPr>
              <w:spacing w:after="20"/>
              <w:ind w:left="20"/>
              <w:jc w:val="both"/>
            </w:pPr>
            <w:r>
              <w:rPr>
                <w:rFonts w:ascii="Times New Roman"/>
                <w:b w:val="false"/>
                <w:i w:val="false"/>
                <w:color w:val="000000"/>
                <w:sz w:val="20"/>
              </w:rPr>
              <w:t>
4) срок и условия хранения;</w:t>
            </w:r>
          </w:p>
          <w:p>
            <w:pPr>
              <w:spacing w:after="20"/>
              <w:ind w:left="20"/>
              <w:jc w:val="both"/>
            </w:pPr>
            <w:r>
              <w:rPr>
                <w:rFonts w:ascii="Times New Roman"/>
                <w:b w:val="false"/>
                <w:i w:val="false"/>
                <w:color w:val="000000"/>
                <w:sz w:val="20"/>
              </w:rPr>
              <w:t>
5) дата изготовления;</w:t>
            </w:r>
          </w:p>
          <w:p>
            <w:pPr>
              <w:spacing w:after="20"/>
              <w:ind w:left="20"/>
              <w:jc w:val="both"/>
            </w:pPr>
            <w:r>
              <w:rPr>
                <w:rFonts w:ascii="Times New Roman"/>
                <w:b w:val="false"/>
                <w:i w:val="false"/>
                <w:color w:val="000000"/>
                <w:sz w:val="20"/>
              </w:rPr>
              <w:t>
6) номер партии;</w:t>
            </w:r>
          </w:p>
          <w:p>
            <w:pPr>
              <w:spacing w:after="20"/>
              <w:ind w:left="20"/>
              <w:jc w:val="both"/>
            </w:pPr>
            <w:r>
              <w:rPr>
                <w:rFonts w:ascii="Times New Roman"/>
                <w:b w:val="false"/>
                <w:i w:val="false"/>
                <w:color w:val="000000"/>
                <w:sz w:val="20"/>
              </w:rPr>
              <w:t>
штриховой идентификационный код (при необходимости).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маркировки продукции смазочных материалов, масел и специальных жидкостей, способная оказывать вредное воздействие на здоровье человека, окружающую среду, обладающая пожароопасными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смазочных материалов, масел и специальных жидкостей при котором маркировка изложена на официальном и государственном языке государства – члена Евразийского экономического союза, на территории которого данная продукция реализуется потребителю. Дополнительное использование иностранных языков допускается при условии полной идентичности содержания с текстом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смазочных материалов, масел и специальных жидкостей четкой и разборчивой маркировки, выполненной способом, обеспечивающим ее сохранность к упакованной продукции и воздействиям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продукции смазочных материалов, масел и специальных жидкостей в паспорте качества при поставке неупакованной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конструкции тракторов и прицепов на всех стадиях жизненного цикла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классификации тракторов и прицепов категориям и типам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категорий Т1, Т2, Т3, Т5, С (кроме С4) и прицепам категории R</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специального назначения категорий Т4, С4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предъявляемым к тракторам и прицепам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перечню требований безопасности, предъявляемых к тракторам и прицепам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требований безопасности, предъявляемых к тракторам специального назначения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компонентов тракторов или прицепов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таблички изготовителя трактора и классификация технически допустимых буксируемых масс, требованиям по размещению и содержанию необходимой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оборудования работающего под избыточным давлением, требованиям безопасности при разработке (проектировании), изготовлении (производстве), а также параметрам и характеристикам, установленным проектной документацией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безопасности в течение всего срока службы при выполнении потребителем мер по обеспечению его безопасности, установленных в технической документации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классификации по категориям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к отличительной окраске и идентификационной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работающего под избыточным давлением технической документации, в том числе паспорта оборудования, руководства по эксплуатации, документов обеспечивающих идентификацию для элементов (сборочных единиц, деталей) и комплектующих изделий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 светло-серый цвет наружной поверхности автоцистерн для транспортировки сжиженных углеводородных газов. Нанесения на обе боковые стороны сосуда, отличительной полосы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сжиженного углеводородного газа, следующим требованиям к физико-химическим и эксплуатационным показателям сжиженных углеводородных газов:</w:t>
            </w:r>
          </w:p>
          <w:p>
            <w:pPr>
              <w:spacing w:after="20"/>
              <w:ind w:left="20"/>
              <w:jc w:val="both"/>
            </w:pPr>
            <w:r>
              <w:rPr>
                <w:rFonts w:ascii="Times New Roman"/>
                <w:b w:val="false"/>
                <w:i w:val="false"/>
                <w:color w:val="000000"/>
                <w:sz w:val="20"/>
              </w:rPr>
              <w:t>
1) октановое число;</w:t>
            </w:r>
          </w:p>
          <w:p>
            <w:pPr>
              <w:spacing w:after="20"/>
              <w:ind w:left="20"/>
              <w:jc w:val="both"/>
            </w:pPr>
            <w:r>
              <w:rPr>
                <w:rFonts w:ascii="Times New Roman"/>
                <w:b w:val="false"/>
                <w:i w:val="false"/>
                <w:color w:val="000000"/>
                <w:sz w:val="20"/>
              </w:rPr>
              <w:t>
2) массовая доля суммы непредельных углеводородов;</w:t>
            </w:r>
          </w:p>
          <w:p>
            <w:pPr>
              <w:spacing w:after="20"/>
              <w:ind w:left="20"/>
              <w:jc w:val="both"/>
            </w:pPr>
            <w:r>
              <w:rPr>
                <w:rFonts w:ascii="Times New Roman"/>
                <w:b w:val="false"/>
                <w:i w:val="false"/>
                <w:color w:val="000000"/>
                <w:sz w:val="20"/>
              </w:rPr>
              <w:t>
3) давление насыщенных паров, избыточное, Мпа, при температуре: плюс 45°С, минус 20°С;</w:t>
            </w:r>
          </w:p>
          <w:p>
            <w:pPr>
              <w:spacing w:after="20"/>
              <w:ind w:left="20"/>
              <w:jc w:val="both"/>
            </w:pPr>
            <w:r>
              <w:rPr>
                <w:rFonts w:ascii="Times New Roman"/>
                <w:b w:val="false"/>
                <w:i w:val="false"/>
                <w:color w:val="000000"/>
                <w:sz w:val="20"/>
              </w:rPr>
              <w:t>
4) массовая доля сероводорода и меркаптановой серы, в том числе сероводорода;</w:t>
            </w:r>
          </w:p>
          <w:p>
            <w:pPr>
              <w:spacing w:after="20"/>
              <w:ind w:left="20"/>
              <w:jc w:val="both"/>
            </w:pPr>
            <w:r>
              <w:rPr>
                <w:rFonts w:ascii="Times New Roman"/>
                <w:b w:val="false"/>
                <w:i w:val="false"/>
                <w:color w:val="000000"/>
                <w:sz w:val="20"/>
              </w:rPr>
              <w:t>
5) запах;</w:t>
            </w:r>
          </w:p>
          <w:p>
            <w:pPr>
              <w:spacing w:after="20"/>
              <w:ind w:left="20"/>
              <w:jc w:val="both"/>
            </w:pPr>
            <w:r>
              <w:rPr>
                <w:rFonts w:ascii="Times New Roman"/>
                <w:b w:val="false"/>
                <w:i w:val="false"/>
                <w:color w:val="000000"/>
                <w:sz w:val="20"/>
              </w:rPr>
              <w:t>
6) интенсивность запаха;</w:t>
            </w:r>
          </w:p>
          <w:p>
            <w:pPr>
              <w:spacing w:after="20"/>
              <w:ind w:left="20"/>
              <w:jc w:val="both"/>
            </w:pPr>
            <w:r>
              <w:rPr>
                <w:rFonts w:ascii="Times New Roman"/>
                <w:b w:val="false"/>
                <w:i w:val="false"/>
                <w:color w:val="000000"/>
                <w:sz w:val="20"/>
              </w:rPr>
              <w:t>
7) объемная доля жидкого остатка при плюс 20°С;</w:t>
            </w:r>
          </w:p>
          <w:p>
            <w:pPr>
              <w:spacing w:after="20"/>
              <w:ind w:left="20"/>
              <w:jc w:val="both"/>
            </w:pPr>
            <w:r>
              <w:rPr>
                <w:rFonts w:ascii="Times New Roman"/>
                <w:b w:val="false"/>
                <w:i w:val="false"/>
                <w:color w:val="000000"/>
                <w:sz w:val="20"/>
              </w:rPr>
              <w:t>
содержание свободной воды и щелочи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сопроводительных документов при перевозке сжиженных углеводородных газов содержащее следующее:</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таре, в которой перемещаются сжиженные углеводородные газы, соответствующей маркировки, содержащее следующее: </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сжиженных углеводородных газов,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реализуются сжиженные углеводородные газы, за исключением наименования изготовителя и наименования сжиженных углеводородных газов, входящего в зарегистрированный товарный знак.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четкой и разборчивой маркировки сжиженных углеводородных газов, выполненной способом, обеспечивающим ее сохранность к воздействиям внешней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сжиженных углеводородных газов требованиям к физико-химическим и эксплуатационным показателям сжиженных углеводородных газов, при соблюдении условий хранения и перевозки обеспечением в течение всего периода обращения сжиженных углеводородных газов на территории Евразийского экономического союза, но не менее гарантийного срока хранения, установленного в документе, в соответствии с которым изготовлены сжиженные углеводородные газы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изготовление изделия электротехники и радиоэлектроники таким образом, чтобы в его составе не содержалось:</w:t>
            </w:r>
          </w:p>
          <w:p>
            <w:pPr>
              <w:spacing w:after="20"/>
              <w:ind w:left="20"/>
              <w:jc w:val="both"/>
            </w:pPr>
            <w:r>
              <w:rPr>
                <w:rFonts w:ascii="Times New Roman"/>
                <w:b w:val="false"/>
                <w:i w:val="false"/>
                <w:color w:val="000000"/>
                <w:sz w:val="20"/>
              </w:rPr>
              <w:t>
1)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p>
            <w:pPr>
              <w:spacing w:after="20"/>
              <w:ind w:left="20"/>
              <w:jc w:val="both"/>
            </w:pPr>
            <w:r>
              <w:rPr>
                <w:rFonts w:ascii="Times New Roman"/>
                <w:b w:val="false"/>
                <w:i w:val="false"/>
                <w:color w:val="000000"/>
                <w:sz w:val="20"/>
              </w:rPr>
              <w:t>
однородных (гомогенных) материалов, содержащих опасные вещества в концентрации, превышающей допустимый уровень,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применения опасных веществ в изделиях электротехники и радиоэлектроники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изделия электротехники и радиоэлектроники наименования (обозначение) изделия электротехники и радиоэлектроники (тип, марка, модель (при наличии)), его основных параметров и характеристик, наименования и товарного знака изготовителя, наименования государства, в котором изготовлено изделие электротехники и радиоэлектроники, и указание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 обозначение изделия электротехники и радиоэлектроники (тип, марка, модель (при наличии)), наименование и товарный знак изготовителя также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только в прилагаемых к данному изделию эксплуатационных документах, наименования (обозначение) изделия электротехники и радиоэлектроники (тип, марка, модель (при наличии)), его основных параметров и характеристики, наименования и товарного знака изготовителя, наименования государства, в котором изготовлено изделие электротехники и радиоэлектроники, при невозможности нанести на изделие электротехники и радиоэлектроники. При этом наименование (обозначение) изделия электротехники и радиоэлектроники (тип, марка, модель (при наличии)), наименование и товарный знак изготовителя нанесены на упаковку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изделиях электротехники и радиоэлектроники разборчивой, легко читаемой маркировки, нанесенной на изделие электротехники и радиоэлектроники в месте, доступном для осмотра без разборки с применением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эксплуатационных документах к изделию электротехники и радиоэлектроники следующей информации:</w:t>
            </w:r>
          </w:p>
          <w:p>
            <w:pPr>
              <w:spacing w:after="20"/>
              <w:ind w:left="20"/>
              <w:jc w:val="both"/>
            </w:pPr>
            <w:r>
              <w:rPr>
                <w:rFonts w:ascii="Times New Roman"/>
                <w:b w:val="false"/>
                <w:i w:val="false"/>
                <w:color w:val="000000"/>
                <w:sz w:val="20"/>
              </w:rPr>
              <w:t>
1) наименование (обозначение) изделия электротехники и радиоэлектроники (тип, марка, модель (при наличии)), его основные параметры и характеристики, наименование и товарный знак изготовителя, наименование государства, в котором изготовлено изделие электротехники и радиоэлектроники;</w:t>
            </w:r>
          </w:p>
          <w:p>
            <w:pPr>
              <w:spacing w:after="20"/>
              <w:ind w:left="20"/>
              <w:jc w:val="both"/>
            </w:pPr>
            <w:r>
              <w:rPr>
                <w:rFonts w:ascii="Times New Roman"/>
                <w:b w:val="false"/>
                <w:i w:val="false"/>
                <w:color w:val="000000"/>
                <w:sz w:val="20"/>
              </w:rPr>
              <w:t>
2) информацию о назначении изделия;</w:t>
            </w:r>
          </w:p>
          <w:p>
            <w:pPr>
              <w:spacing w:after="20"/>
              <w:ind w:left="20"/>
              <w:jc w:val="both"/>
            </w:pPr>
            <w:r>
              <w:rPr>
                <w:rFonts w:ascii="Times New Roman"/>
                <w:b w:val="false"/>
                <w:i w:val="false"/>
                <w:color w:val="000000"/>
                <w:sz w:val="20"/>
              </w:rPr>
              <w:t>
3) характеристики и параметры изделия;</w:t>
            </w:r>
          </w:p>
          <w:p>
            <w:pPr>
              <w:spacing w:after="20"/>
              <w:ind w:left="20"/>
              <w:jc w:val="both"/>
            </w:pPr>
            <w:r>
              <w:rPr>
                <w:rFonts w:ascii="Times New Roman"/>
                <w:b w:val="false"/>
                <w:i w:val="false"/>
                <w:color w:val="000000"/>
                <w:sz w:val="20"/>
              </w:rPr>
              <w:t>
4)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p>
          <w:p>
            <w:pPr>
              <w:spacing w:after="20"/>
              <w:ind w:left="20"/>
              <w:jc w:val="both"/>
            </w:pPr>
            <w:r>
              <w:rPr>
                <w:rFonts w:ascii="Times New Roman"/>
                <w:b w:val="false"/>
                <w:i w:val="false"/>
                <w:color w:val="000000"/>
                <w:sz w:val="20"/>
              </w:rPr>
              <w:t>
5) информацию о мерах, которые следует принять при обнаружении неисправности изделия;</w:t>
            </w:r>
          </w:p>
          <w:p>
            <w:pPr>
              <w:spacing w:after="20"/>
              <w:ind w:left="20"/>
              <w:jc w:val="both"/>
            </w:pPr>
            <w:r>
              <w:rPr>
                <w:rFonts w:ascii="Times New Roman"/>
                <w:b w:val="false"/>
                <w:i w:val="false"/>
                <w:color w:val="000000"/>
                <w:sz w:val="20"/>
              </w:rPr>
              <w:t>
6) наименование и местонахождение изготовителя (уполномоченного изготовителем лица), импортера, их контактные данные;</w:t>
            </w:r>
          </w:p>
          <w:p>
            <w:pPr>
              <w:spacing w:after="20"/>
              <w:ind w:left="20"/>
              <w:jc w:val="both"/>
            </w:pPr>
            <w:r>
              <w:rPr>
                <w:rFonts w:ascii="Times New Roman"/>
                <w:b w:val="false"/>
                <w:i w:val="false"/>
                <w:color w:val="000000"/>
                <w:sz w:val="20"/>
              </w:rPr>
              <w:t>
информацию о месяце и годе изготовления изделия и о месте нанесения такой информации либо способе определения года изготовления.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изделии электротехники и радиоэлектроники маркировки и составление эксплуатационных документов на русском языке и при наличии соответствующих требований в законодательстве государств – членов Евразийского экономического союза – на государственном языке государства-члена, на территории которого реализуется продукция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соответствия аттракционов в форме подтверждения соответствия, регистрации (постановки на учет) и оценки технического состояния (технического освидетельствования)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применительно к аттракционам со степенью потенциально биомеханического риска RB-1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декларации соответствия применительно к аттракционам со степенями потенциальных биомеханических рисков RB-2, RB-3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декларации соответствия или о сертификате соответствия, включая срок их действия, в формуляре аттракциона или паспорте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перевозки и хранения аттракционов с учетом требований безопасности предусмотренных эксплуатационными документами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изделии и на эксплуатационных документах маркировки аттракционов единым знаком обращения продукции на рынке Евразийского экономического союза перед выпуском аттракционов в обращение на рынке Евразийского экономического союза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эксплуатационных документов, включающих в себя:</w:t>
            </w:r>
          </w:p>
          <w:p>
            <w:pPr>
              <w:spacing w:after="20"/>
              <w:ind w:left="20"/>
              <w:jc w:val="both"/>
            </w:pPr>
            <w:r>
              <w:rPr>
                <w:rFonts w:ascii="Times New Roman"/>
                <w:b w:val="false"/>
                <w:i w:val="false"/>
                <w:color w:val="000000"/>
                <w:sz w:val="20"/>
              </w:rPr>
              <w:t>
а) формуляр аттракциона или паспорта аттракциона;</w:t>
            </w:r>
          </w:p>
          <w:p>
            <w:pPr>
              <w:spacing w:after="20"/>
              <w:ind w:left="20"/>
              <w:jc w:val="both"/>
            </w:pPr>
            <w:r>
              <w:rPr>
                <w:rFonts w:ascii="Times New Roman"/>
                <w:b w:val="false"/>
                <w:i w:val="false"/>
                <w:color w:val="000000"/>
                <w:sz w:val="20"/>
              </w:rPr>
              <w:t>
б) руководство по эксплуатации аттракциона;</w:t>
            </w:r>
          </w:p>
          <w:p>
            <w:pPr>
              <w:spacing w:after="20"/>
              <w:ind w:left="20"/>
              <w:jc w:val="both"/>
            </w:pPr>
            <w:r>
              <w:rPr>
                <w:rFonts w:ascii="Times New Roman"/>
                <w:b w:val="false"/>
                <w:i w:val="false"/>
                <w:color w:val="000000"/>
                <w:sz w:val="20"/>
              </w:rPr>
              <w:t>
в) руководство по техническому обслуживанию и ремонту аттракциона;</w:t>
            </w:r>
          </w:p>
          <w:p>
            <w:pPr>
              <w:spacing w:after="20"/>
              <w:ind w:left="20"/>
              <w:jc w:val="both"/>
            </w:pPr>
            <w:r>
              <w:rPr>
                <w:rFonts w:ascii="Times New Roman"/>
                <w:b w:val="false"/>
                <w:i w:val="false"/>
                <w:color w:val="000000"/>
                <w:sz w:val="20"/>
              </w:rPr>
              <w:t>
г) ведомость запасных частей и принадлежностей;</w:t>
            </w:r>
          </w:p>
          <w:p>
            <w:pPr>
              <w:spacing w:after="20"/>
              <w:ind w:left="20"/>
              <w:jc w:val="both"/>
            </w:pPr>
            <w:r>
              <w:rPr>
                <w:rFonts w:ascii="Times New Roman"/>
                <w:b w:val="false"/>
                <w:i w:val="false"/>
                <w:color w:val="000000"/>
                <w:sz w:val="20"/>
              </w:rPr>
              <w:t>
д) инструкцию по монтажу (сборке, установке), пуску, регулированию и обкатке аттракциона;</w:t>
            </w:r>
          </w:p>
          <w:p>
            <w:pPr>
              <w:spacing w:after="20"/>
              <w:ind w:left="20"/>
              <w:jc w:val="both"/>
            </w:pPr>
            <w:r>
              <w:rPr>
                <w:rFonts w:ascii="Times New Roman"/>
                <w:b w:val="false"/>
                <w:i w:val="false"/>
                <w:color w:val="000000"/>
                <w:sz w:val="20"/>
              </w:rPr>
              <w:t>
е) инструкцию по перевозке и хранению аттракциона;</w:t>
            </w:r>
          </w:p>
          <w:p>
            <w:pPr>
              <w:spacing w:after="20"/>
              <w:ind w:left="20"/>
              <w:jc w:val="both"/>
            </w:pPr>
            <w:r>
              <w:rPr>
                <w:rFonts w:ascii="Times New Roman"/>
                <w:b w:val="false"/>
                <w:i w:val="false"/>
                <w:color w:val="000000"/>
                <w:sz w:val="20"/>
              </w:rPr>
              <w:t>
ж) инструкцию по выводу из эксплуатации и по утилизации аттракциона;</w:t>
            </w:r>
          </w:p>
          <w:p>
            <w:pPr>
              <w:spacing w:after="20"/>
              <w:ind w:left="20"/>
              <w:jc w:val="both"/>
            </w:pPr>
            <w:r>
              <w:rPr>
                <w:rFonts w:ascii="Times New Roman"/>
                <w:b w:val="false"/>
                <w:i w:val="false"/>
                <w:color w:val="000000"/>
                <w:sz w:val="20"/>
              </w:rPr>
              <w:t>
з) журналы учета эксплуатации и технического обслуживания аттракциона в соответствии с документами, предусмотренными подпунктами "б" и "в" настоящего пункта (с указанием сведений, обеспечивающих учет выполнения требований по эксплуатации и техническому обслуживанию)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эксплуатантом или уполномоченным им лицом аттракциона на участке, подходящем для этой цели, согласно указаниям, содержащимся в эксплуатационных документах с обеспечением следующих условий:</w:t>
            </w:r>
          </w:p>
          <w:p>
            <w:pPr>
              <w:spacing w:after="20"/>
              <w:ind w:left="20"/>
              <w:jc w:val="both"/>
            </w:pPr>
            <w:r>
              <w:rPr>
                <w:rFonts w:ascii="Times New Roman"/>
                <w:b w:val="false"/>
                <w:i w:val="false"/>
                <w:color w:val="000000"/>
                <w:sz w:val="20"/>
              </w:rPr>
              <w:t>
 а) грунт может безопасно выдерживать нагрузку от аттракциона;</w:t>
            </w:r>
          </w:p>
          <w:p>
            <w:pPr>
              <w:spacing w:after="20"/>
              <w:ind w:left="20"/>
              <w:jc w:val="both"/>
            </w:pPr>
            <w:r>
              <w:rPr>
                <w:rFonts w:ascii="Times New Roman"/>
                <w:b w:val="false"/>
                <w:i w:val="false"/>
                <w:color w:val="000000"/>
                <w:sz w:val="20"/>
              </w:rPr>
              <w:t>
б) площадка достаточно плоская, ровная и устойчивая для безопасного монтажа (сборки, установки) и эксплуатации аттракциона в соответствии с формуляром и инструкцией по монтажу (сборке, установке) аттракциона.</w:t>
            </w:r>
          </w:p>
          <w:p>
            <w:pPr>
              <w:spacing w:after="20"/>
              <w:ind w:left="20"/>
              <w:jc w:val="both"/>
            </w:pPr>
            <w:r>
              <w:rPr>
                <w:rFonts w:ascii="Times New Roman"/>
                <w:b w:val="false"/>
                <w:i w:val="false"/>
                <w:color w:val="000000"/>
                <w:sz w:val="20"/>
              </w:rPr>
              <w:t>
в) после монтажа (сборки, установки) аттракциона грунт необходимо регулярно проверять, чтобы убедиться в отсутствии ухудшения несущей способности, особенно при неблагоприятных погодных условиях. Площадка под аттракцион должна оборудоваться дренажом в случае риска воздействия на аттракцион грунтовых вод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расположения эксплуатантом подземных коммуникаций или воздушных линий, которые могут представлять опасность при монтаже (сборке, установке) или эксплуатации аттракциона, с учетом при необходимости рекомендации соответствующего органа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аттракционов с учетом безопасного доступа посетителей к каждому аттракциону и безопасного выхода из него в установленных местах, с исключением узких проходов, которые могут стать причиной опасного затора в чрезвычайной ситуации с учетом следующих условий:</w:t>
            </w:r>
          </w:p>
          <w:p>
            <w:pPr>
              <w:spacing w:after="20"/>
              <w:ind w:left="20"/>
              <w:jc w:val="both"/>
            </w:pPr>
            <w:r>
              <w:rPr>
                <w:rFonts w:ascii="Times New Roman"/>
                <w:b w:val="false"/>
                <w:i w:val="false"/>
                <w:color w:val="000000"/>
                <w:sz w:val="20"/>
              </w:rPr>
              <w:t>
а) на подъездных путях должно быть предусмотрено достаточное расстояние между аттракционами и вспомогательными устройствами аттракционов и над ними, чтобы обеспечить доступ для транспортных средств аварийных служб, а также доступ к стационарным пожарным гидрантам (в том числе во время эвакуации посетителей);</w:t>
            </w:r>
          </w:p>
          <w:p>
            <w:pPr>
              <w:spacing w:after="20"/>
              <w:ind w:left="20"/>
              <w:jc w:val="both"/>
            </w:pPr>
            <w:r>
              <w:rPr>
                <w:rFonts w:ascii="Times New Roman"/>
                <w:b w:val="false"/>
                <w:i w:val="false"/>
                <w:color w:val="000000"/>
                <w:sz w:val="20"/>
              </w:rPr>
              <w:t>
б)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pPr>
              <w:spacing w:after="20"/>
              <w:ind w:left="20"/>
              <w:jc w:val="both"/>
            </w:pPr>
            <w:r>
              <w:rPr>
                <w:rFonts w:ascii="Times New Roman"/>
                <w:b w:val="false"/>
                <w:i w:val="false"/>
                <w:color w:val="000000"/>
                <w:sz w:val="20"/>
              </w:rPr>
              <w:t>
в) если аттракционы пересекаются или проходят сквозь друг друга, то как минимум должны применяться контуры безопасности для каждого аттракциона. Эксплуатант должен обеспечить соблюдение контуров безопасности как для пассажиров, так и для других посетителей;</w:t>
            </w:r>
          </w:p>
          <w:p>
            <w:pPr>
              <w:spacing w:after="20"/>
              <w:ind w:left="20"/>
              <w:jc w:val="both"/>
            </w:pPr>
            <w:r>
              <w:rPr>
                <w:rFonts w:ascii="Times New Roman"/>
                <w:b w:val="false"/>
                <w:i w:val="false"/>
                <w:color w:val="000000"/>
                <w:sz w:val="20"/>
              </w:rPr>
              <w:t>
г) для работающих от жетонов аттракционов для детей расстояние между ними может варьироваться при условии соблюдения контуров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безопасности фундамента до начала монтажа (сборки, установки) аттракциона, если аттракцион монтируется (собирается, устанавливается) на фундамент.</w:t>
            </w:r>
          </w:p>
          <w:p>
            <w:pPr>
              <w:spacing w:after="20"/>
              <w:ind w:left="20"/>
              <w:jc w:val="both"/>
            </w:pPr>
            <w:r>
              <w:rPr>
                <w:rFonts w:ascii="Times New Roman"/>
                <w:b w:val="false"/>
                <w:i w:val="false"/>
                <w:color w:val="000000"/>
                <w:sz w:val="20"/>
              </w:rPr>
              <w:t>
Фундаменты должны соответствовать требованиям законодательства государства-члена в области строительства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соблюдение требования по установке аттракционов без фундамента с учетом динамической нагрузки, которая при работе аттракциона не должна приводить к перемещениям или к опрокидыванию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проведения наладки и регулировки аттракциона после окончания работ по монтажу (сборке, установке) аттракциона в соответствии с рекомендациями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перед входом на аттракцион правил пользования аттракционом для посетителей, а также правил обслуживания пассажиров-лиц с инвалидностью, если биомеханические воздействия аттракциона для них допустимы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для измерения роста и веса пассажиров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размещение перед входом на каждый эксплуатируемый аттракцион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 </w:t>
            </w:r>
          </w:p>
          <w:p>
            <w:pPr>
              <w:spacing w:after="20"/>
              <w:ind w:left="20"/>
              <w:jc w:val="both"/>
            </w:pPr>
            <w:r>
              <w:rPr>
                <w:rFonts w:ascii="Times New Roman"/>
                <w:b w:val="false"/>
                <w:i w:val="false"/>
                <w:color w:val="000000"/>
                <w:sz w:val="20"/>
              </w:rPr>
              <w:t>
Табличка должна быть читаемой, защищенной от погодных воздействий и умышленных повреждений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рядом с пультом аттракциона таблички, содержащей сведения об основных технических характеристиках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медицинской аптечки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необходимых эвакуационных знаков, планов и мероприятий по эвакуации пассажиров с большой высоты или из кресел со значительным наклоном по отношению к земле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эвакуации пассажиров из пассажирских модулей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основных правил по обслуживанию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схемы загрузки аттракциона пассажирами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ежедневной проверки аттракциона с записями в журнале о ежедневных допусках аттракциона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свободного доступа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установка на площадке аттракционов приборов для измерения силы ветра и температуры окружающего воздуха (если это предусмотрено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проведение полной проверки аттракциона эксплуатантом для эксплуатировавшихся аттракционов после длительного (свыше 12 месяцев) приостановления эксплуатации, простоя по техническим причинам, в случае проведения частичной или полной разборки аттракциона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технического обслуживания и ремонта аттракционов в соответствии с эксплуатационными документами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приостановление эксплуатации аттракциона эксплуатантом, если назначенный срок службы основной несущей конструкции и незаменяемых частей аттракциона истек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оценки остаточного ресурса, по истечении назначенного срока службы аттракциона, в форме обследования организацией, аккредитованной (уполномоченной) в порядке, установленном законодательством государств-членов с соблюдением следующих мер:</w:t>
            </w:r>
          </w:p>
          <w:p>
            <w:pPr>
              <w:spacing w:after="20"/>
              <w:ind w:left="20"/>
              <w:jc w:val="both"/>
            </w:pPr>
            <w:r>
              <w:rPr>
                <w:rFonts w:ascii="Times New Roman"/>
                <w:b w:val="false"/>
                <w:i w:val="false"/>
                <w:color w:val="000000"/>
                <w:sz w:val="20"/>
              </w:rPr>
              <w:t>
а) определение состояния оборудования аттракциона с выявлением дефектов, неисправностей, степени износа и коррозии;</w:t>
            </w:r>
          </w:p>
          <w:p>
            <w:pPr>
              <w:spacing w:after="20"/>
              <w:ind w:left="20"/>
              <w:jc w:val="both"/>
            </w:pPr>
            <w:r>
              <w:rPr>
                <w:rFonts w:ascii="Times New Roman"/>
                <w:b w:val="false"/>
                <w:i w:val="false"/>
                <w:color w:val="000000"/>
                <w:sz w:val="20"/>
              </w:rPr>
              <w:t>
б) контроль состояния металлоконструкций, пассажирских модулей, фиксирующих устройств, надежность крепления пассажирских кресел, шасси, тормозных устройств, систем управления;</w:t>
            </w:r>
          </w:p>
          <w:p>
            <w:pPr>
              <w:spacing w:after="20"/>
              <w:ind w:left="20"/>
              <w:jc w:val="both"/>
            </w:pPr>
            <w:r>
              <w:rPr>
                <w:rFonts w:ascii="Times New Roman"/>
                <w:b w:val="false"/>
                <w:i w:val="false"/>
                <w:color w:val="000000"/>
                <w:sz w:val="20"/>
              </w:rPr>
              <w:t>
в) испытание изоляции электрических цепей и электрооборудования, визуальный и измерительный контроль заземления (зануления) оборудования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сведений о проведенном обследовании в формуляре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заключения, содержащее условия и возможный срок продления эксплуатации аттракциона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модификаций аттракциона с предварительным одобрением проектировщика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минеральных удобрений нормам радиационной и химической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паспорте безопасности и предупредительной маркировке сведений по классификации минеральных удобрений по опасным факторам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упаковки минеральных удобрений, предназначенных для реализации через торговую сеть (предприятия или организации оптовой и розничной торговли). Не допускается реализация в розничной торговле минеральных удобрений с нарушенной упаковкой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выпуску в обращение на рынке Евразийского экономического союза минеральных удобрений, не маркированных единым знаком обращения продукции на рынке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твердых минеральных удобрений в крытых железнодорожных вагонах, полувагонах, закрытых транспортных емкостях судов (трюмы, танки) и автомобильным транспортом с обязательным их укрытием в кузове. Упакованные в мягкие контейнеры с полимерными вкладышами твердые минеральные удобрения допускается перевозить в полувагонах, на открытых палубных судах и автомобильным транспортом без укрытия в кузове. Упакованные в полимерные мешки твердые минеральные удобрения допускается перевозить автомобильным транспортом без укрытия в кузове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насыпью в одном вагоне, транспортной емкости судна (трюме, танке) кузове автомобиля грузов одновременно с минеральными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минеральных удобрений, классифицированных как опасные грузы, в том числе обладающие пожаро- и взрывоопасными свойствами, в соответствии с нормами и правилами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жидких минеральных удобрений (аммиачной воды, углеаммиаката, жидких комплексных минеральных удобрений) наливом железнодорожным и автомобильным транспортом, в контейнерах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жидких минеральных удобрений наливом водным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p>
            <w:pPr>
              <w:spacing w:after="20"/>
              <w:ind w:left="20"/>
              <w:jc w:val="both"/>
            </w:pPr>
            <w:r>
              <w:rPr>
                <w:rFonts w:ascii="Times New Roman"/>
                <w:b w:val="false"/>
                <w:i w:val="false"/>
                <w:color w:val="000000"/>
                <w:sz w:val="20"/>
              </w:rPr>
              <w:t>
Перевозка жидких комплексных минеральных удобрений, расфасованных в потребительскую тару, производится железнодорожным и автомобильным транспортом, транспортными пакетами на поддонах, в контейнерах или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минеральных удобрений воздушным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заполнения емкостей для перевозки жидких минеральных удобрений с учетом объемного расширения продукта при возможном перепаде температур в пути следования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содержащее следующее:</w:t>
            </w:r>
          </w:p>
          <w:p>
            <w:pPr>
              <w:spacing w:after="20"/>
              <w:ind w:left="20"/>
              <w:jc w:val="both"/>
            </w:pPr>
            <w:r>
              <w:rPr>
                <w:rFonts w:ascii="Times New Roman"/>
                <w:b w:val="false"/>
                <w:i w:val="false"/>
                <w:color w:val="000000"/>
                <w:sz w:val="20"/>
              </w:rPr>
              <w:t>
1) наименование минерального удобрения и его назначение;</w:t>
            </w:r>
          </w:p>
          <w:p>
            <w:pPr>
              <w:spacing w:after="20"/>
              <w:ind w:left="20"/>
              <w:jc w:val="both"/>
            </w:pPr>
            <w:r>
              <w:rPr>
                <w:rFonts w:ascii="Times New Roman"/>
                <w:b w:val="false"/>
                <w:i w:val="false"/>
                <w:color w:val="000000"/>
                <w:sz w:val="20"/>
              </w:rPr>
              <w:t>
2) наименование и содержание питательных элементов, в том числе микро- и макроэлементов;</w:t>
            </w:r>
          </w:p>
          <w:p>
            <w:pPr>
              <w:spacing w:after="20"/>
              <w:ind w:left="20"/>
              <w:jc w:val="both"/>
            </w:pPr>
            <w:r>
              <w:rPr>
                <w:rFonts w:ascii="Times New Roman"/>
                <w:b w:val="false"/>
                <w:i w:val="false"/>
                <w:color w:val="000000"/>
                <w:sz w:val="20"/>
              </w:rPr>
              <w:t>
3) наименование (фирменное наименование) изготовителя и его место нахождения (адрес юридического лица, фактический адрес - для юридического лица, фамилия, имя и отчество (при наличии), место жительства, сведения о государственной регистрации физического лица, зарегистрированного в качестве индивидуального предпринимателя, - для физического лица), наименование страны, где изготовлены минеральные удобрения;</w:t>
            </w:r>
          </w:p>
          <w:p>
            <w:pPr>
              <w:spacing w:after="20"/>
              <w:ind w:left="20"/>
              <w:jc w:val="both"/>
            </w:pPr>
            <w:r>
              <w:rPr>
                <w:rFonts w:ascii="Times New Roman"/>
                <w:b w:val="false"/>
                <w:i w:val="false"/>
                <w:color w:val="000000"/>
                <w:sz w:val="20"/>
              </w:rPr>
              <w:t>
4) товарный знак изготовителя (при наличии);</w:t>
            </w:r>
          </w:p>
          <w:p>
            <w:pPr>
              <w:spacing w:after="20"/>
              <w:ind w:left="20"/>
              <w:jc w:val="both"/>
            </w:pPr>
            <w:r>
              <w:rPr>
                <w:rFonts w:ascii="Times New Roman"/>
                <w:b w:val="false"/>
                <w:i w:val="false"/>
                <w:color w:val="000000"/>
                <w:sz w:val="20"/>
              </w:rPr>
              <w:t>
5) обозначение документа, в соответствии с которым производится и поставляется минеральное удобрение;</w:t>
            </w:r>
          </w:p>
          <w:p>
            <w:pPr>
              <w:spacing w:after="20"/>
              <w:ind w:left="20"/>
              <w:jc w:val="both"/>
            </w:pPr>
            <w:r>
              <w:rPr>
                <w:rFonts w:ascii="Times New Roman"/>
                <w:b w:val="false"/>
                <w:i w:val="false"/>
                <w:color w:val="000000"/>
                <w:sz w:val="20"/>
              </w:rPr>
              <w:t>
6) марка и (или) сорт минерального удобрения (при наличии);</w:t>
            </w:r>
          </w:p>
          <w:p>
            <w:pPr>
              <w:spacing w:after="20"/>
              <w:ind w:left="20"/>
              <w:jc w:val="both"/>
            </w:pPr>
            <w:r>
              <w:rPr>
                <w:rFonts w:ascii="Times New Roman"/>
                <w:b w:val="false"/>
                <w:i w:val="false"/>
                <w:color w:val="000000"/>
                <w:sz w:val="20"/>
              </w:rPr>
              <w:t>
7) номер партии (для фасованных минеральных удобрений);</w:t>
            </w:r>
          </w:p>
          <w:p>
            <w:pPr>
              <w:spacing w:after="20"/>
              <w:ind w:left="20"/>
              <w:jc w:val="both"/>
            </w:pPr>
            <w:r>
              <w:rPr>
                <w:rFonts w:ascii="Times New Roman"/>
                <w:b w:val="false"/>
                <w:i w:val="false"/>
                <w:color w:val="000000"/>
                <w:sz w:val="20"/>
              </w:rPr>
              <w:t>
8) номинальное количество минеральных удобрений (масса или объем) (для фасованных минеральных удобрений);</w:t>
            </w:r>
          </w:p>
          <w:p>
            <w:pPr>
              <w:spacing w:after="20"/>
              <w:ind w:left="20"/>
              <w:jc w:val="both"/>
            </w:pPr>
            <w:r>
              <w:rPr>
                <w:rFonts w:ascii="Times New Roman"/>
                <w:b w:val="false"/>
                <w:i w:val="false"/>
                <w:color w:val="000000"/>
                <w:sz w:val="20"/>
              </w:rPr>
              <w:t>
9) рекомендации по перевозке, применению и хранению минерального удобрения;</w:t>
            </w:r>
          </w:p>
          <w:p>
            <w:pPr>
              <w:spacing w:after="20"/>
              <w:ind w:left="20"/>
              <w:jc w:val="both"/>
            </w:pPr>
            <w:r>
              <w:rPr>
                <w:rFonts w:ascii="Times New Roman"/>
                <w:b w:val="false"/>
                <w:i w:val="false"/>
                <w:color w:val="000000"/>
                <w:sz w:val="20"/>
              </w:rPr>
              <w:t>
10) регистрационный номер минерального удобрения, зарегистрированного в государстве-члене Евразийского экономического союза;</w:t>
            </w:r>
          </w:p>
          <w:p>
            <w:pPr>
              <w:spacing w:after="20"/>
              <w:ind w:left="20"/>
              <w:jc w:val="both"/>
            </w:pPr>
            <w:r>
              <w:rPr>
                <w:rFonts w:ascii="Times New Roman"/>
                <w:b w:val="false"/>
                <w:i w:val="false"/>
                <w:color w:val="000000"/>
                <w:sz w:val="20"/>
              </w:rPr>
              <w:t>
11) дата изготовления или дата отгрузки минерального удобрения (месяц, год);</w:t>
            </w:r>
          </w:p>
          <w:p>
            <w:pPr>
              <w:spacing w:after="20"/>
              <w:ind w:left="20"/>
              <w:jc w:val="both"/>
            </w:pPr>
            <w:r>
              <w:rPr>
                <w:rFonts w:ascii="Times New Roman"/>
                <w:b w:val="false"/>
                <w:i w:val="false"/>
                <w:color w:val="000000"/>
                <w:sz w:val="20"/>
              </w:rPr>
              <w:t>
12) дата фасования (месяц, год - для фасованных минеральных удобрений, если их фасование производится не изготовителем этих минеральных удобрений);</w:t>
            </w:r>
          </w:p>
          <w:p>
            <w:pPr>
              <w:spacing w:after="20"/>
              <w:ind w:left="20"/>
              <w:jc w:val="both"/>
            </w:pPr>
            <w:r>
              <w:rPr>
                <w:rFonts w:ascii="Times New Roman"/>
                <w:b w:val="false"/>
                <w:i w:val="false"/>
                <w:color w:val="000000"/>
                <w:sz w:val="20"/>
              </w:rPr>
              <w:t>
13) условия хранения минерального удобрения;</w:t>
            </w:r>
          </w:p>
          <w:p>
            <w:pPr>
              <w:spacing w:after="20"/>
              <w:ind w:left="20"/>
              <w:jc w:val="both"/>
            </w:pPr>
            <w:r>
              <w:rPr>
                <w:rFonts w:ascii="Times New Roman"/>
                <w:b w:val="false"/>
                <w:i w:val="false"/>
                <w:color w:val="000000"/>
                <w:sz w:val="20"/>
              </w:rPr>
              <w:t>
14) гарантийный срок хранения минерального удобрения;</w:t>
            </w:r>
          </w:p>
          <w:p>
            <w:pPr>
              <w:spacing w:after="20"/>
              <w:ind w:left="20"/>
              <w:jc w:val="both"/>
            </w:pPr>
            <w:r>
              <w:rPr>
                <w:rFonts w:ascii="Times New Roman"/>
                <w:b w:val="false"/>
                <w:i w:val="false"/>
                <w:color w:val="000000"/>
                <w:sz w:val="20"/>
              </w:rPr>
              <w:t>
15) штриховой идентификационный код минерального удобрения (код, представляющий знаки с помощью наборов параллельных штрихов различной толщины и шага, которые оптически считываются путем поперечного сканирования) - для минеральных удобрений, реализуемых через розничную торговую сеть;</w:t>
            </w:r>
          </w:p>
          <w:p>
            <w:pPr>
              <w:spacing w:after="20"/>
              <w:ind w:left="20"/>
              <w:jc w:val="both"/>
            </w:pPr>
            <w:r>
              <w:rPr>
                <w:rFonts w:ascii="Times New Roman"/>
                <w:b w:val="false"/>
                <w:i w:val="false"/>
                <w:color w:val="000000"/>
                <w:sz w:val="20"/>
              </w:rPr>
              <w:t>
16) ограничения по применению минерального удобрения (совместимость со средствами защиты растений, фитотоксичность);</w:t>
            </w:r>
          </w:p>
          <w:p>
            <w:pPr>
              <w:spacing w:after="20"/>
              <w:ind w:left="20"/>
              <w:jc w:val="both"/>
            </w:pPr>
            <w:r>
              <w:rPr>
                <w:rFonts w:ascii="Times New Roman"/>
                <w:b w:val="false"/>
                <w:i w:val="false"/>
                <w:color w:val="000000"/>
                <w:sz w:val="20"/>
              </w:rPr>
              <w:t>
17) меры предосторожности при работе с минеральным удобрением, его транспортировке и хранении, включая способы обезвреживания пролитого или рассыпанного минерального удобрения;</w:t>
            </w:r>
          </w:p>
          <w:p>
            <w:pPr>
              <w:spacing w:after="20"/>
              <w:ind w:left="20"/>
              <w:jc w:val="both"/>
            </w:pPr>
            <w:r>
              <w:rPr>
                <w:rFonts w:ascii="Times New Roman"/>
                <w:b w:val="false"/>
                <w:i w:val="false"/>
                <w:color w:val="000000"/>
                <w:sz w:val="20"/>
              </w:rPr>
              <w:t>
18) способы обезвреживания и утилизации тары из-под минерального удобрения;</w:t>
            </w:r>
          </w:p>
          <w:p>
            <w:pPr>
              <w:spacing w:after="20"/>
              <w:ind w:left="20"/>
              <w:jc w:val="both"/>
            </w:pPr>
            <w:r>
              <w:rPr>
                <w:rFonts w:ascii="Times New Roman"/>
                <w:b w:val="false"/>
                <w:i w:val="false"/>
                <w:color w:val="000000"/>
                <w:sz w:val="20"/>
              </w:rPr>
              <w:t>
19) описание клинической картины острых отравлений (при наличии данных), медицинские рекомендации, в том числе с указанием антидота (при наличии) и мер первой помощи при отравлении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предупредительной маркировки на минеральных удобрениях, если минеральное удобрение классифицируется как опасное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фасованных минеральных удобрений на упаковку либо на этикетку или ярлык, прикрепляемые к упаковке способом, обеспечивающим их сохранность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поставке неупакованных минеральных удобрений информации о продукции (маркировка), в составе комплекта сопроводительных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транспортной маркировки минеральных удобрений нормам и правилам перевозки опасных грузов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на русском языке и при наличии соответствующих требований в законодательстве государств-членов на государственном языке государства-члена Евразийского экономического союза, на территории которого реализуются минеральные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минеральных удобрений четкой и разборчивой маркировки, в доступном для осмотра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как новой химической продукции при отсутствии сведений о химической продукции в реестре химических веществ и смесей Евразийского экономического союза, а новые химические вещества, входящие в ее состав, нотифицированы до выпуска в обращение на территории Евразийского экономического союза химической продукции, содержащей такие химические вещества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включающее:</w:t>
            </w:r>
          </w:p>
          <w:p>
            <w:pPr>
              <w:spacing w:after="20"/>
              <w:ind w:left="20"/>
              <w:jc w:val="both"/>
            </w:pPr>
            <w:r>
              <w:rPr>
                <w:rFonts w:ascii="Times New Roman"/>
                <w:b w:val="false"/>
                <w:i w:val="false"/>
                <w:color w:val="000000"/>
                <w:sz w:val="20"/>
              </w:rPr>
              <w:t>
1) установление наименования химической продукции;</w:t>
            </w:r>
          </w:p>
          <w:p>
            <w:pPr>
              <w:spacing w:after="20"/>
              <w:ind w:left="20"/>
              <w:jc w:val="both"/>
            </w:pPr>
            <w:r>
              <w:rPr>
                <w:rFonts w:ascii="Times New Roman"/>
                <w:b w:val="false"/>
                <w:i w:val="false"/>
                <w:color w:val="000000"/>
                <w:sz w:val="20"/>
              </w:rPr>
              <w:t>
2) отнесение химической продукции к химическим веществам или смесям;</w:t>
            </w:r>
          </w:p>
          <w:p>
            <w:pPr>
              <w:spacing w:after="20"/>
              <w:ind w:left="20"/>
              <w:jc w:val="both"/>
            </w:pPr>
            <w:r>
              <w:rPr>
                <w:rFonts w:ascii="Times New Roman"/>
                <w:b w:val="false"/>
                <w:i w:val="false"/>
                <w:color w:val="000000"/>
                <w:sz w:val="20"/>
              </w:rPr>
              <w:t>
3) установление для химического вещества наименования;</w:t>
            </w:r>
          </w:p>
          <w:p>
            <w:pPr>
              <w:spacing w:after="20"/>
              <w:ind w:left="20"/>
              <w:jc w:val="both"/>
            </w:pPr>
            <w:r>
              <w:rPr>
                <w:rFonts w:ascii="Times New Roman"/>
                <w:b w:val="false"/>
                <w:i w:val="false"/>
                <w:color w:val="000000"/>
                <w:sz w:val="20"/>
              </w:rPr>
              <w:t>
4) определение химического состава смеси с установлением для каждого из входящих в состав идентифицируемых компонентов наименования;</w:t>
            </w:r>
          </w:p>
          <w:p>
            <w:pPr>
              <w:spacing w:after="20"/>
              <w:ind w:left="20"/>
              <w:jc w:val="both"/>
            </w:pPr>
            <w:r>
              <w:rPr>
                <w:rFonts w:ascii="Times New Roman"/>
                <w:b w:val="false"/>
                <w:i w:val="false"/>
                <w:color w:val="000000"/>
                <w:sz w:val="20"/>
              </w:rPr>
              <w:t>
5) установление наличия в составе химической продукции новых химических веществ в концентрациях более 0,1%;</w:t>
            </w:r>
          </w:p>
          <w:p>
            <w:pPr>
              <w:spacing w:after="20"/>
              <w:ind w:left="20"/>
              <w:jc w:val="both"/>
            </w:pPr>
            <w:r>
              <w:rPr>
                <w:rFonts w:ascii="Times New Roman"/>
                <w:b w:val="false"/>
                <w:i w:val="false"/>
                <w:color w:val="000000"/>
                <w:sz w:val="20"/>
              </w:rPr>
              <w:t>
6) отнесение химических веществ в составе химической продукции к:</w:t>
            </w:r>
          </w:p>
          <w:p>
            <w:pPr>
              <w:spacing w:after="20"/>
              <w:ind w:left="20"/>
              <w:jc w:val="both"/>
            </w:pPr>
            <w:r>
              <w:rPr>
                <w:rFonts w:ascii="Times New Roman"/>
                <w:b w:val="false"/>
                <w:i w:val="false"/>
                <w:color w:val="000000"/>
                <w:sz w:val="20"/>
              </w:rPr>
              <w:t>
а) новым химическим веществам;</w:t>
            </w:r>
          </w:p>
          <w:p>
            <w:pPr>
              <w:spacing w:after="20"/>
              <w:ind w:left="20"/>
              <w:jc w:val="both"/>
            </w:pPr>
            <w:r>
              <w:rPr>
                <w:rFonts w:ascii="Times New Roman"/>
                <w:b w:val="false"/>
                <w:i w:val="false"/>
                <w:color w:val="000000"/>
                <w:sz w:val="20"/>
              </w:rPr>
              <w:t>
б) химическим веществам, запрещенным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в) химическим веществам, ограниченным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7) определение области применения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определения химического состава химического вещества для которого требуется определить:</w:t>
            </w:r>
          </w:p>
          <w:p>
            <w:pPr>
              <w:spacing w:after="20"/>
              <w:ind w:left="20"/>
              <w:jc w:val="both"/>
            </w:pPr>
            <w:r>
              <w:rPr>
                <w:rFonts w:ascii="Times New Roman"/>
                <w:b w:val="false"/>
                <w:i w:val="false"/>
                <w:color w:val="000000"/>
                <w:sz w:val="20"/>
              </w:rPr>
              <w:t>
1) основное химическое вещество;</w:t>
            </w:r>
          </w:p>
          <w:p>
            <w:pPr>
              <w:spacing w:after="20"/>
              <w:ind w:left="20"/>
              <w:jc w:val="both"/>
            </w:pPr>
            <w:r>
              <w:rPr>
                <w:rFonts w:ascii="Times New Roman"/>
                <w:b w:val="false"/>
                <w:i w:val="false"/>
                <w:color w:val="000000"/>
                <w:sz w:val="20"/>
              </w:rPr>
              <w:t>
2) опасные химические вещества в составе добавок и примесей, если они присутствуют в количествах, превышающих значения концентраций, указанные в стандартах, включенных в перечень стандартов.</w:t>
            </w:r>
          </w:p>
          <w:p>
            <w:pPr>
              <w:spacing w:after="20"/>
              <w:ind w:left="20"/>
              <w:jc w:val="both"/>
            </w:pPr>
            <w:r>
              <w:rPr>
                <w:rFonts w:ascii="Times New Roman"/>
                <w:b w:val="false"/>
                <w:i w:val="false"/>
                <w:color w:val="000000"/>
                <w:sz w:val="20"/>
              </w:rPr>
              <w:t>
При определении химического состава смеси необходимо идентифицировать:</w:t>
            </w:r>
          </w:p>
          <w:p>
            <w:pPr>
              <w:spacing w:after="20"/>
              <w:ind w:left="20"/>
              <w:jc w:val="both"/>
            </w:pPr>
            <w:r>
              <w:rPr>
                <w:rFonts w:ascii="Times New Roman"/>
                <w:b w:val="false"/>
                <w:i w:val="false"/>
                <w:color w:val="000000"/>
                <w:sz w:val="20"/>
              </w:rPr>
              <w:t>
1) химические вещества, присутствующие в концентрациях более 10%;</w:t>
            </w:r>
          </w:p>
          <w:p>
            <w:pPr>
              <w:spacing w:after="20"/>
              <w:ind w:left="20"/>
              <w:jc w:val="both"/>
            </w:pPr>
            <w:r>
              <w:rPr>
                <w:rFonts w:ascii="Times New Roman"/>
                <w:b w:val="false"/>
                <w:i w:val="false"/>
                <w:color w:val="000000"/>
                <w:sz w:val="20"/>
              </w:rPr>
              <w:t>
2) опасные химические вещества, присутствующие в количествах, превышающих значения необходимых концентраций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по видам опасного воздействия в отношении жизни и здоровья человека, имущества, окружающей среды, жизни и здоровья животных и растений, связанного с физико-химическими свойствами химической продукции, подразделением на:</w:t>
            </w:r>
          </w:p>
          <w:p>
            <w:pPr>
              <w:spacing w:after="20"/>
              <w:ind w:left="20"/>
              <w:jc w:val="both"/>
            </w:pPr>
            <w:r>
              <w:rPr>
                <w:rFonts w:ascii="Times New Roman"/>
                <w:b w:val="false"/>
                <w:i w:val="false"/>
                <w:color w:val="000000"/>
                <w:sz w:val="20"/>
              </w:rPr>
              <w:t>
1) взрывчатую химическую продукцию;</w:t>
            </w:r>
          </w:p>
          <w:p>
            <w:pPr>
              <w:spacing w:after="20"/>
              <w:ind w:left="20"/>
              <w:jc w:val="both"/>
            </w:pPr>
            <w:r>
              <w:rPr>
                <w:rFonts w:ascii="Times New Roman"/>
                <w:b w:val="false"/>
                <w:i w:val="false"/>
                <w:color w:val="000000"/>
                <w:sz w:val="20"/>
              </w:rPr>
              <w:t>
2) сжатый газ (сжиженный газ);</w:t>
            </w:r>
          </w:p>
          <w:p>
            <w:pPr>
              <w:spacing w:after="20"/>
              <w:ind w:left="20"/>
              <w:jc w:val="both"/>
            </w:pPr>
            <w:r>
              <w:rPr>
                <w:rFonts w:ascii="Times New Roman"/>
                <w:b w:val="false"/>
                <w:i w:val="false"/>
                <w:color w:val="000000"/>
                <w:sz w:val="20"/>
              </w:rPr>
              <w:t>
3) воспламеняющуюся газообразную химическую продукцию (воспламеняющийся газ);</w:t>
            </w:r>
          </w:p>
          <w:p>
            <w:pPr>
              <w:spacing w:after="20"/>
              <w:ind w:left="20"/>
              <w:jc w:val="both"/>
            </w:pPr>
            <w:r>
              <w:rPr>
                <w:rFonts w:ascii="Times New Roman"/>
                <w:b w:val="false"/>
                <w:i w:val="false"/>
                <w:color w:val="000000"/>
                <w:sz w:val="20"/>
              </w:rPr>
              <w:t>
4) воспламеняющуюся химическую продукцию в аэрозольной упаковке;</w:t>
            </w:r>
          </w:p>
          <w:p>
            <w:pPr>
              <w:spacing w:after="20"/>
              <w:ind w:left="20"/>
              <w:jc w:val="both"/>
            </w:pPr>
            <w:r>
              <w:rPr>
                <w:rFonts w:ascii="Times New Roman"/>
                <w:b w:val="false"/>
                <w:i w:val="false"/>
                <w:color w:val="000000"/>
                <w:sz w:val="20"/>
              </w:rPr>
              <w:t>
5) воспламеняющуюся (горючую) жидкость;</w:t>
            </w:r>
          </w:p>
          <w:p>
            <w:pPr>
              <w:spacing w:after="20"/>
              <w:ind w:left="20"/>
              <w:jc w:val="both"/>
            </w:pPr>
            <w:r>
              <w:rPr>
                <w:rFonts w:ascii="Times New Roman"/>
                <w:b w:val="false"/>
                <w:i w:val="false"/>
                <w:color w:val="000000"/>
                <w:sz w:val="20"/>
              </w:rPr>
              <w:t>
6) воспламеняющуюся химическую продукцию, находящуюся в твердом состоянии;</w:t>
            </w:r>
          </w:p>
          <w:p>
            <w:pPr>
              <w:spacing w:after="20"/>
              <w:ind w:left="20"/>
              <w:jc w:val="both"/>
            </w:pPr>
            <w:r>
              <w:rPr>
                <w:rFonts w:ascii="Times New Roman"/>
                <w:b w:val="false"/>
                <w:i w:val="false"/>
                <w:color w:val="000000"/>
                <w:sz w:val="20"/>
              </w:rPr>
              <w:t>
7) саморазлагающуюся (самореактивную) химическую продукцию;</w:t>
            </w:r>
          </w:p>
          <w:p>
            <w:pPr>
              <w:spacing w:after="20"/>
              <w:ind w:left="20"/>
              <w:jc w:val="both"/>
            </w:pPr>
            <w:r>
              <w:rPr>
                <w:rFonts w:ascii="Times New Roman"/>
                <w:b w:val="false"/>
                <w:i w:val="false"/>
                <w:color w:val="000000"/>
                <w:sz w:val="20"/>
              </w:rPr>
              <w:t>
8) пирофорную химическую продукцию;</w:t>
            </w:r>
          </w:p>
          <w:p>
            <w:pPr>
              <w:spacing w:after="20"/>
              <w:ind w:left="20"/>
              <w:jc w:val="both"/>
            </w:pPr>
            <w:r>
              <w:rPr>
                <w:rFonts w:ascii="Times New Roman"/>
                <w:b w:val="false"/>
                <w:i w:val="false"/>
                <w:color w:val="000000"/>
                <w:sz w:val="20"/>
              </w:rPr>
              <w:t>
9) самонагревающуюся химическую продукцию (за исключением пирофорной химической продукции);</w:t>
            </w:r>
          </w:p>
          <w:p>
            <w:pPr>
              <w:spacing w:after="20"/>
              <w:ind w:left="20"/>
              <w:jc w:val="both"/>
            </w:pPr>
            <w:r>
              <w:rPr>
                <w:rFonts w:ascii="Times New Roman"/>
                <w:b w:val="false"/>
                <w:i w:val="false"/>
                <w:color w:val="000000"/>
                <w:sz w:val="20"/>
              </w:rPr>
              <w:t>
10) химическую продукцию, опасную при контакте с водой;</w:t>
            </w:r>
          </w:p>
          <w:p>
            <w:pPr>
              <w:spacing w:after="20"/>
              <w:ind w:left="20"/>
              <w:jc w:val="both"/>
            </w:pPr>
            <w:r>
              <w:rPr>
                <w:rFonts w:ascii="Times New Roman"/>
                <w:b w:val="false"/>
                <w:i w:val="false"/>
                <w:color w:val="000000"/>
                <w:sz w:val="20"/>
              </w:rPr>
              <w:t>
11) окисляющую химическую продукцию;</w:t>
            </w:r>
          </w:p>
          <w:p>
            <w:pPr>
              <w:spacing w:after="20"/>
              <w:ind w:left="20"/>
              <w:jc w:val="both"/>
            </w:pPr>
            <w:r>
              <w:rPr>
                <w:rFonts w:ascii="Times New Roman"/>
                <w:b w:val="false"/>
                <w:i w:val="false"/>
                <w:color w:val="000000"/>
                <w:sz w:val="20"/>
              </w:rPr>
              <w:t>
12) органические пероксиды;</w:t>
            </w:r>
          </w:p>
          <w:p>
            <w:pPr>
              <w:spacing w:after="20"/>
              <w:ind w:left="20"/>
              <w:jc w:val="both"/>
            </w:pPr>
            <w:r>
              <w:rPr>
                <w:rFonts w:ascii="Times New Roman"/>
                <w:b w:val="false"/>
                <w:i w:val="false"/>
                <w:color w:val="000000"/>
                <w:sz w:val="20"/>
              </w:rPr>
              <w:t>
13) коррозионно-активную химическую продукцию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проявляющей опасные свойства в отношении жизни и здоровья человека и животных, подразделением на:</w:t>
            </w:r>
          </w:p>
          <w:p>
            <w:pPr>
              <w:spacing w:after="20"/>
              <w:ind w:left="20"/>
              <w:jc w:val="both"/>
            </w:pPr>
            <w:r>
              <w:rPr>
                <w:rFonts w:ascii="Times New Roman"/>
                <w:b w:val="false"/>
                <w:i w:val="false"/>
                <w:color w:val="000000"/>
                <w:sz w:val="20"/>
              </w:rPr>
              <w:t>
1) обладающая острой токсичностью в отношении воздействия на живой организм;</w:t>
            </w:r>
          </w:p>
          <w:p>
            <w:pPr>
              <w:spacing w:after="20"/>
              <w:ind w:left="20"/>
              <w:jc w:val="both"/>
            </w:pPr>
            <w:r>
              <w:rPr>
                <w:rFonts w:ascii="Times New Roman"/>
                <w:b w:val="false"/>
                <w:i w:val="false"/>
                <w:color w:val="000000"/>
                <w:sz w:val="20"/>
              </w:rPr>
              <w:t>
2) вызывающая разъедание (некроз) и раздражение кожи;</w:t>
            </w:r>
          </w:p>
          <w:p>
            <w:pPr>
              <w:spacing w:after="20"/>
              <w:ind w:left="20"/>
              <w:jc w:val="both"/>
            </w:pPr>
            <w:r>
              <w:rPr>
                <w:rFonts w:ascii="Times New Roman"/>
                <w:b w:val="false"/>
                <w:i w:val="false"/>
                <w:color w:val="000000"/>
                <w:sz w:val="20"/>
              </w:rPr>
              <w:t>
3) вызывающая серьезное повреждение (раздражение) глаз;</w:t>
            </w:r>
          </w:p>
          <w:p>
            <w:pPr>
              <w:spacing w:after="20"/>
              <w:ind w:left="20"/>
              <w:jc w:val="both"/>
            </w:pPr>
            <w:r>
              <w:rPr>
                <w:rFonts w:ascii="Times New Roman"/>
                <w:b w:val="false"/>
                <w:i w:val="false"/>
                <w:color w:val="000000"/>
                <w:sz w:val="20"/>
              </w:rPr>
              <w:t>
4) оказывающая сенсибилизирующее действие;</w:t>
            </w:r>
          </w:p>
          <w:p>
            <w:pPr>
              <w:spacing w:after="20"/>
              <w:ind w:left="20"/>
              <w:jc w:val="both"/>
            </w:pPr>
            <w:r>
              <w:rPr>
                <w:rFonts w:ascii="Times New Roman"/>
                <w:b w:val="false"/>
                <w:i w:val="false"/>
                <w:color w:val="000000"/>
                <w:sz w:val="20"/>
              </w:rPr>
              <w:t>
5) обладающая мутагенными свойствами (мутагены);</w:t>
            </w:r>
          </w:p>
          <w:p>
            <w:pPr>
              <w:spacing w:after="20"/>
              <w:ind w:left="20"/>
              <w:jc w:val="both"/>
            </w:pPr>
            <w:r>
              <w:rPr>
                <w:rFonts w:ascii="Times New Roman"/>
                <w:b w:val="false"/>
                <w:i w:val="false"/>
                <w:color w:val="000000"/>
                <w:sz w:val="20"/>
              </w:rPr>
              <w:t>
6) обладающая канцерогенными свойствами (канцерогены);</w:t>
            </w:r>
          </w:p>
          <w:p>
            <w:pPr>
              <w:spacing w:after="20"/>
              <w:ind w:left="20"/>
              <w:jc w:val="both"/>
            </w:pPr>
            <w:r>
              <w:rPr>
                <w:rFonts w:ascii="Times New Roman"/>
                <w:b w:val="false"/>
                <w:i w:val="false"/>
                <w:color w:val="000000"/>
                <w:sz w:val="20"/>
              </w:rPr>
              <w:t>
7) воздействующая на репродуктивную функцию;</w:t>
            </w:r>
          </w:p>
          <w:p>
            <w:pPr>
              <w:spacing w:after="20"/>
              <w:ind w:left="20"/>
              <w:jc w:val="both"/>
            </w:pPr>
            <w:r>
              <w:rPr>
                <w:rFonts w:ascii="Times New Roman"/>
                <w:b w:val="false"/>
                <w:i w:val="false"/>
                <w:color w:val="000000"/>
                <w:sz w:val="20"/>
              </w:rPr>
              <w:t>
8) обладающая избирательной токсичностью на отдельные органы (органы-мишени) и (или) системы живого организма при однократном и кратковременном воздействии или при многократном и продолжительном воздействии;</w:t>
            </w:r>
          </w:p>
          <w:p>
            <w:pPr>
              <w:spacing w:after="20"/>
              <w:ind w:left="20"/>
              <w:jc w:val="both"/>
            </w:pPr>
            <w:r>
              <w:rPr>
                <w:rFonts w:ascii="Times New Roman"/>
                <w:b w:val="false"/>
                <w:i w:val="false"/>
                <w:color w:val="000000"/>
                <w:sz w:val="20"/>
              </w:rPr>
              <w:t>
9) представляющая опасность при аспирации;</w:t>
            </w:r>
          </w:p>
          <w:p>
            <w:pPr>
              <w:spacing w:after="20"/>
              <w:ind w:left="20"/>
              <w:jc w:val="both"/>
            </w:pPr>
            <w:r>
              <w:rPr>
                <w:rFonts w:ascii="Times New Roman"/>
                <w:b w:val="false"/>
                <w:i w:val="false"/>
                <w:color w:val="000000"/>
                <w:sz w:val="20"/>
              </w:rPr>
              <w:t>
10) стойкая, способная к накоплению в биологических объектах токсичных веществ;</w:t>
            </w:r>
          </w:p>
          <w:p>
            <w:pPr>
              <w:spacing w:after="20"/>
              <w:ind w:left="20"/>
              <w:jc w:val="both"/>
            </w:pPr>
            <w:r>
              <w:rPr>
                <w:rFonts w:ascii="Times New Roman"/>
                <w:b w:val="false"/>
                <w:i w:val="false"/>
                <w:color w:val="000000"/>
                <w:sz w:val="20"/>
              </w:rPr>
              <w:t>
11) характеризующаяся особенной стойкостью и способностью к бионакоплению;</w:t>
            </w:r>
          </w:p>
          <w:p>
            <w:pPr>
              <w:spacing w:after="20"/>
              <w:ind w:left="20"/>
              <w:jc w:val="both"/>
            </w:pPr>
            <w:r>
              <w:rPr>
                <w:rFonts w:ascii="Times New Roman"/>
                <w:b w:val="false"/>
                <w:i w:val="false"/>
                <w:color w:val="000000"/>
                <w:sz w:val="20"/>
              </w:rPr>
              <w:t>
12) уровень опасности которой соответствует уровню опасности таких соединений, как, в частности, "разрушители" эндокринной системы, по которым существует научно обоснованное доказательство их вероятного серьезного воздействия на окружающую среду и здоровье человека.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опасной для окружающей среды:</w:t>
            </w:r>
          </w:p>
          <w:p>
            <w:pPr>
              <w:spacing w:after="20"/>
              <w:ind w:left="20"/>
              <w:jc w:val="both"/>
            </w:pPr>
            <w:r>
              <w:rPr>
                <w:rFonts w:ascii="Times New Roman"/>
                <w:b w:val="false"/>
                <w:i w:val="false"/>
                <w:color w:val="000000"/>
                <w:sz w:val="20"/>
              </w:rPr>
              <w:t>
1) разрушающая озоновый слой;</w:t>
            </w:r>
          </w:p>
          <w:p>
            <w:pPr>
              <w:spacing w:after="20"/>
              <w:ind w:left="20"/>
              <w:jc w:val="both"/>
            </w:pPr>
            <w:r>
              <w:rPr>
                <w:rFonts w:ascii="Times New Roman"/>
                <w:b w:val="false"/>
                <w:i w:val="false"/>
                <w:color w:val="000000"/>
                <w:sz w:val="20"/>
              </w:rPr>
              <w:t>
2) обладающая острой и хронической токсичностью для водной среды;</w:t>
            </w:r>
          </w:p>
          <w:p>
            <w:pPr>
              <w:spacing w:after="20"/>
              <w:ind w:left="20"/>
              <w:jc w:val="both"/>
            </w:pPr>
            <w:r>
              <w:rPr>
                <w:rFonts w:ascii="Times New Roman"/>
                <w:b w:val="false"/>
                <w:i w:val="false"/>
                <w:color w:val="000000"/>
                <w:sz w:val="20"/>
              </w:rPr>
              <w:t>
3) обладающая способностью к биоаккумуляции;</w:t>
            </w:r>
          </w:p>
          <w:p>
            <w:pPr>
              <w:spacing w:after="20"/>
              <w:ind w:left="20"/>
              <w:jc w:val="both"/>
            </w:pPr>
            <w:r>
              <w:rPr>
                <w:rFonts w:ascii="Times New Roman"/>
                <w:b w:val="false"/>
                <w:i w:val="false"/>
                <w:color w:val="000000"/>
                <w:sz w:val="20"/>
              </w:rPr>
              <w:t>
4) устойчивая к процессам разложения и трансформации (персистентности);</w:t>
            </w:r>
          </w:p>
          <w:p>
            <w:pPr>
              <w:spacing w:after="20"/>
              <w:ind w:left="20"/>
              <w:jc w:val="both"/>
            </w:pPr>
            <w:r>
              <w:rPr>
                <w:rFonts w:ascii="Times New Roman"/>
                <w:b w:val="false"/>
                <w:i w:val="false"/>
                <w:color w:val="000000"/>
                <w:sz w:val="20"/>
              </w:rPr>
              <w:t>
5) обладающая токсичностью для почвы.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химической продукции основным элементам классификации химической продукции, опасной в отношении водной среды:</w:t>
            </w:r>
          </w:p>
          <w:p>
            <w:pPr>
              <w:spacing w:after="20"/>
              <w:ind w:left="20"/>
              <w:jc w:val="both"/>
            </w:pPr>
            <w:r>
              <w:rPr>
                <w:rFonts w:ascii="Times New Roman"/>
                <w:b w:val="false"/>
                <w:i w:val="false"/>
                <w:color w:val="000000"/>
                <w:sz w:val="20"/>
              </w:rPr>
              <w:t>
1) острая токсичность в водной среде;</w:t>
            </w:r>
          </w:p>
          <w:p>
            <w:pPr>
              <w:spacing w:after="20"/>
              <w:ind w:left="20"/>
              <w:jc w:val="both"/>
            </w:pPr>
            <w:r>
              <w:rPr>
                <w:rFonts w:ascii="Times New Roman"/>
                <w:b w:val="false"/>
                <w:i w:val="false"/>
                <w:color w:val="000000"/>
                <w:sz w:val="20"/>
              </w:rPr>
              <w:t>
2) хроническая токсичность в водной среде;</w:t>
            </w:r>
          </w:p>
          <w:p>
            <w:pPr>
              <w:spacing w:after="20"/>
              <w:ind w:left="20"/>
              <w:jc w:val="both"/>
            </w:pPr>
            <w:r>
              <w:rPr>
                <w:rFonts w:ascii="Times New Roman"/>
                <w:b w:val="false"/>
                <w:i w:val="false"/>
                <w:color w:val="000000"/>
                <w:sz w:val="20"/>
              </w:rPr>
              <w:t>
3) потенциал биоаккумуляции или фактическая биоаккумуляция;</w:t>
            </w:r>
          </w:p>
          <w:p>
            <w:pPr>
              <w:spacing w:after="20"/>
              <w:ind w:left="20"/>
              <w:jc w:val="both"/>
            </w:pPr>
            <w:r>
              <w:rPr>
                <w:rFonts w:ascii="Times New Roman"/>
                <w:b w:val="false"/>
                <w:i w:val="false"/>
                <w:color w:val="000000"/>
                <w:sz w:val="20"/>
              </w:rPr>
              <w:t>
4) разложение (биотическое и абиотическое) – применительно к органическим химическим веществам.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химической продукции относящейся к продукции, разрушающей озоновый слой, если в ее составе содержится хотя бы одно вещество из перечня химических веществ, разрушающих озоновый слой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классификации химической продукции, опасной в отношении почв, на основе комплекса показателей опасности химической продукции, которые включают в себя:</w:t>
            </w:r>
          </w:p>
          <w:p>
            <w:pPr>
              <w:spacing w:after="20"/>
              <w:ind w:left="20"/>
              <w:jc w:val="both"/>
            </w:pPr>
            <w:r>
              <w:rPr>
                <w:rFonts w:ascii="Times New Roman"/>
                <w:b w:val="false"/>
                <w:i w:val="false"/>
                <w:color w:val="000000"/>
                <w:sz w:val="20"/>
              </w:rPr>
              <w:t>
1) токсичность для почвенных организмов;</w:t>
            </w:r>
          </w:p>
          <w:p>
            <w:pPr>
              <w:spacing w:after="20"/>
              <w:ind w:left="20"/>
              <w:jc w:val="both"/>
            </w:pPr>
            <w:r>
              <w:rPr>
                <w:rFonts w:ascii="Times New Roman"/>
                <w:b w:val="false"/>
                <w:i w:val="false"/>
                <w:color w:val="000000"/>
                <w:sz w:val="20"/>
              </w:rPr>
              <w:t>
2) персистентность в почве;</w:t>
            </w:r>
          </w:p>
          <w:p>
            <w:pPr>
              <w:spacing w:after="20"/>
              <w:ind w:left="20"/>
              <w:jc w:val="both"/>
            </w:pPr>
            <w:r>
              <w:rPr>
                <w:rFonts w:ascii="Times New Roman"/>
                <w:b w:val="false"/>
                <w:i w:val="false"/>
                <w:color w:val="000000"/>
                <w:sz w:val="20"/>
              </w:rPr>
              <w:t>
3) персистентность в растениях;</w:t>
            </w:r>
          </w:p>
          <w:p>
            <w:pPr>
              <w:spacing w:after="20"/>
              <w:ind w:left="20"/>
              <w:jc w:val="both"/>
            </w:pPr>
            <w:r>
              <w:rPr>
                <w:rFonts w:ascii="Times New Roman"/>
                <w:b w:val="false"/>
                <w:i w:val="false"/>
                <w:color w:val="000000"/>
                <w:sz w:val="20"/>
              </w:rPr>
              <w:t>
4) способность к миграции химической продукции;</w:t>
            </w:r>
          </w:p>
          <w:p>
            <w:pPr>
              <w:spacing w:after="20"/>
              <w:ind w:left="20"/>
              <w:jc w:val="both"/>
            </w:pPr>
            <w:r>
              <w:rPr>
                <w:rFonts w:ascii="Times New Roman"/>
                <w:b w:val="false"/>
                <w:i w:val="false"/>
                <w:color w:val="000000"/>
                <w:sz w:val="20"/>
              </w:rPr>
              <w:t>
5) влияние на пищевую ценность сельскохозяйственной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классификация химической продукции по опасным свойствам на основе данных, полученных в результате исследований (испытаний) химических веществ, входящих в ее состав, или смесей в целом, или по результатам данных, полученных с помощью расчетных методов для химической продукции, представляющей собой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установленного класса (подкласс, тип) опасности химической продукции изготовителем (уполномоченным изготовителем лицом), импортером этой продукции в паспорте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принципов классификации смесей по опасным свойствам:</w:t>
            </w:r>
          </w:p>
          <w:p>
            <w:pPr>
              <w:spacing w:after="20"/>
              <w:ind w:left="20"/>
              <w:jc w:val="both"/>
            </w:pPr>
            <w:r>
              <w:rPr>
                <w:rFonts w:ascii="Times New Roman"/>
                <w:b w:val="false"/>
                <w:i w:val="false"/>
                <w:color w:val="000000"/>
                <w:sz w:val="20"/>
              </w:rPr>
              <w:t>
1) при наличии данных исследований (испытаний) по химическим веществам в составе смесей или смесям в целом классификация проводится на основе этих данных;</w:t>
            </w:r>
          </w:p>
          <w:p>
            <w:pPr>
              <w:spacing w:after="20"/>
              <w:ind w:left="20"/>
              <w:jc w:val="both"/>
            </w:pPr>
            <w:r>
              <w:rPr>
                <w:rFonts w:ascii="Times New Roman"/>
                <w:b w:val="false"/>
                <w:i w:val="false"/>
                <w:color w:val="000000"/>
                <w:sz w:val="20"/>
              </w:rPr>
              <w:t>
2) при отсутствии данных исследований (испытаний) по химическим веществам в составе смесей или смесям в целом используются методы интерполяции или экстраполяции (методы оценки опасности с использованием имеющихся данных по смесям, аналогичным классифицируемым);</w:t>
            </w:r>
          </w:p>
          <w:p>
            <w:pPr>
              <w:spacing w:after="20"/>
              <w:ind w:left="20"/>
              <w:jc w:val="both"/>
            </w:pPr>
            <w:r>
              <w:rPr>
                <w:rFonts w:ascii="Times New Roman"/>
                <w:b w:val="false"/>
                <w:i w:val="false"/>
                <w:color w:val="000000"/>
                <w:sz w:val="20"/>
              </w:rPr>
              <w:t>
при отсутствии данных исследований (испытаний) по смесям в целом и отсутствии информации, которая позволила бы применить методы интерполяции или экстраполяции, для классификации используются методы оценки опасности на основе данных по отдельным химическим веществам в составе смеси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классификации химической продукции при изменении ее компонентного состава,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обращения химической продукции нижеследующему:</w:t>
            </w:r>
          </w:p>
          <w:p>
            <w:pPr>
              <w:spacing w:after="20"/>
              <w:ind w:left="20"/>
              <w:jc w:val="both"/>
            </w:pPr>
            <w:r>
              <w:rPr>
                <w:rFonts w:ascii="Times New Roman"/>
                <w:b w:val="false"/>
                <w:i w:val="false"/>
                <w:color w:val="000000"/>
                <w:sz w:val="20"/>
              </w:rPr>
              <w:t>
1) соблюдения изготовителем (уполномоченным изготовителем лицом), импортером химической продукции установленных к ней требований безопасности;</w:t>
            </w:r>
          </w:p>
          <w:p>
            <w:pPr>
              <w:spacing w:after="20"/>
              <w:ind w:left="20"/>
              <w:jc w:val="both"/>
            </w:pPr>
            <w:r>
              <w:rPr>
                <w:rFonts w:ascii="Times New Roman"/>
                <w:b w:val="false"/>
                <w:i w:val="false"/>
                <w:color w:val="000000"/>
                <w:sz w:val="20"/>
              </w:rPr>
              <w:t>
2) использования (применения) потребителем (приобретателем) химической продукции по назначению;</w:t>
            </w:r>
          </w:p>
          <w:p>
            <w:pPr>
              <w:spacing w:after="20"/>
              <w:ind w:left="20"/>
              <w:jc w:val="both"/>
            </w:pPr>
            <w:r>
              <w:rPr>
                <w:rFonts w:ascii="Times New Roman"/>
                <w:b w:val="false"/>
                <w:i w:val="false"/>
                <w:color w:val="000000"/>
                <w:sz w:val="20"/>
              </w:rPr>
              <w:t>
3) оценки соответствия химической продукции требованиям безопасности;</w:t>
            </w:r>
          </w:p>
          <w:p>
            <w:pPr>
              <w:spacing w:after="20"/>
              <w:ind w:left="20"/>
              <w:jc w:val="both"/>
            </w:pPr>
            <w:r>
              <w:rPr>
                <w:rFonts w:ascii="Times New Roman"/>
                <w:b w:val="false"/>
                <w:i w:val="false"/>
                <w:color w:val="000000"/>
                <w:sz w:val="20"/>
              </w:rPr>
              <w:t>
4) реализации изготовителем (уполномоченным изготовителем лицом), импортером и потребителем (приобретателем) химической продукции предупреждающих мер при обращении с химической продукцией;</w:t>
            </w:r>
          </w:p>
          <w:p>
            <w:pPr>
              <w:spacing w:after="20"/>
              <w:ind w:left="20"/>
              <w:jc w:val="both"/>
            </w:pPr>
            <w:r>
              <w:rPr>
                <w:rFonts w:ascii="Times New Roman"/>
                <w:b w:val="false"/>
                <w:i w:val="false"/>
                <w:color w:val="000000"/>
                <w:sz w:val="20"/>
              </w:rPr>
              <w:t>
5) замены опасных химических веществ на химические вещества более низкого класса опасности или на не классифицированные как опасные (при возможности);</w:t>
            </w:r>
          </w:p>
          <w:p>
            <w:pPr>
              <w:spacing w:after="20"/>
              <w:ind w:left="20"/>
              <w:jc w:val="both"/>
            </w:pPr>
            <w:r>
              <w:rPr>
                <w:rFonts w:ascii="Times New Roman"/>
                <w:b w:val="false"/>
                <w:i w:val="false"/>
                <w:color w:val="000000"/>
                <w:sz w:val="20"/>
              </w:rPr>
              <w:t>
6) информирования потребителя (приобретателя) об опасных свойствах химической продукции в отношении жизни и здоровья человека, имущества, окружающей среды, жизни и здоровья животных и растений, а также о мерах по ее безопасному обращению, в том числе по истечению срока годности или непригодности использования;</w:t>
            </w:r>
          </w:p>
          <w:p>
            <w:pPr>
              <w:spacing w:after="20"/>
              <w:ind w:left="20"/>
              <w:jc w:val="both"/>
            </w:pPr>
            <w:r>
              <w:rPr>
                <w:rFonts w:ascii="Times New Roman"/>
                <w:b w:val="false"/>
                <w:i w:val="false"/>
                <w:color w:val="000000"/>
                <w:sz w:val="20"/>
              </w:rPr>
              <w:t>
информирования потребителя (приобретателя) о методах безопасной утилизации и нейтрализации химической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включающее в себя следующие сведения:</w:t>
            </w:r>
          </w:p>
          <w:p>
            <w:pPr>
              <w:spacing w:after="20"/>
              <w:ind w:left="20"/>
              <w:jc w:val="both"/>
            </w:pPr>
            <w:r>
              <w:rPr>
                <w:rFonts w:ascii="Times New Roman"/>
                <w:b w:val="false"/>
                <w:i w:val="false"/>
                <w:color w:val="000000"/>
                <w:sz w:val="20"/>
              </w:rPr>
              <w:t>
1) наименование химической продукции, установленное при ее идентификации (наименование химической продукции дополнительно может включать торговое (фирменное) наименование);</w:t>
            </w:r>
          </w:p>
          <w:p>
            <w:pPr>
              <w:spacing w:after="20"/>
              <w:ind w:left="20"/>
              <w:jc w:val="both"/>
            </w:pPr>
            <w:r>
              <w:rPr>
                <w:rFonts w:ascii="Times New Roman"/>
                <w:b w:val="false"/>
                <w:i w:val="false"/>
                <w:color w:val="000000"/>
                <w:sz w:val="20"/>
              </w:rPr>
              <w:t>
2) наименование, местонахождение (адрес юридического лица), включая страну, и номер телефона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3) наименование химических веществ и смесей, классифицированных как опасные и содержащихся в составе химической продукции в количествах, превышающих значения концентраций, указанные в стандартах, включенных в перечень международных и региональных (межгосударственных) стандартов, при их отсутствии ‒ национальных (государственных) стандартов;</w:t>
            </w:r>
          </w:p>
          <w:p>
            <w:pPr>
              <w:spacing w:after="20"/>
              <w:ind w:left="20"/>
              <w:jc w:val="both"/>
            </w:pPr>
            <w:r>
              <w:rPr>
                <w:rFonts w:ascii="Times New Roman"/>
                <w:b w:val="false"/>
                <w:i w:val="false"/>
                <w:color w:val="000000"/>
                <w:sz w:val="20"/>
              </w:rPr>
              <w:t>
4) условия хранения и гарантийные обязательства изготовителя (срок годности, срок хранения);</w:t>
            </w:r>
          </w:p>
          <w:p>
            <w:pPr>
              <w:spacing w:after="20"/>
              <w:ind w:left="20"/>
              <w:jc w:val="both"/>
            </w:pPr>
            <w:r>
              <w:rPr>
                <w:rFonts w:ascii="Times New Roman"/>
                <w:b w:val="false"/>
                <w:i w:val="false"/>
                <w:color w:val="000000"/>
                <w:sz w:val="20"/>
              </w:rPr>
              <w:t>
5) обозначение документа, в соответствии с которым изготовлена химическая продукция (при наличии);</w:t>
            </w:r>
          </w:p>
          <w:p>
            <w:pPr>
              <w:spacing w:after="20"/>
              <w:ind w:left="20"/>
              <w:jc w:val="both"/>
            </w:pPr>
            <w:r>
              <w:rPr>
                <w:rFonts w:ascii="Times New Roman"/>
                <w:b w:val="false"/>
                <w:i w:val="false"/>
                <w:color w:val="000000"/>
                <w:sz w:val="20"/>
              </w:rPr>
              <w:t>
6) информация об опасных свойствах химической продукции, в том числе предупредительная маркировка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на русском языке и при наличии соответствующих требований в законодательстве государств-членов на государственных языках государства-члена, на территории которого реализуется химическая продукция.</w:t>
            </w:r>
          </w:p>
          <w:p>
            <w:pPr>
              <w:spacing w:after="20"/>
              <w:ind w:left="20"/>
              <w:jc w:val="both"/>
            </w:pPr>
            <w:r>
              <w:rPr>
                <w:rFonts w:ascii="Times New Roman"/>
                <w:b w:val="false"/>
                <w:i w:val="false"/>
                <w:color w:val="000000"/>
                <w:sz w:val="20"/>
              </w:rPr>
              <w:t>
Маркировка четкая и легкочитаемая, устойчивая к механическому воздействию, к воздействию химических веществ, климатических факторов и сохраняется до момента полного использования и (или) утилизации (переработки) химической продукции.</w:t>
            </w:r>
          </w:p>
          <w:p>
            <w:pPr>
              <w:spacing w:after="20"/>
              <w:ind w:left="20"/>
              <w:jc w:val="both"/>
            </w:pPr>
            <w:r>
              <w:rPr>
                <w:rFonts w:ascii="Times New Roman"/>
                <w:b w:val="false"/>
                <w:i w:val="false"/>
                <w:color w:val="000000"/>
                <w:sz w:val="20"/>
              </w:rPr>
              <w:t>
Маркировка химической продукции наносится непосредственно на упаковку продукции или на ее этикетку, прикрепляемую к упаковке. Элементы предупредительной маркировки выделяются по сравнению с иной информацией, содержащейся в маркировке химической продукции.</w:t>
            </w:r>
          </w:p>
          <w:p>
            <w:pPr>
              <w:spacing w:after="20"/>
              <w:ind w:left="20"/>
              <w:jc w:val="both"/>
            </w:pPr>
            <w:r>
              <w:rPr>
                <w:rFonts w:ascii="Times New Roman"/>
                <w:b w:val="false"/>
                <w:i w:val="false"/>
                <w:color w:val="000000"/>
                <w:sz w:val="20"/>
              </w:rPr>
              <w:t>
Если места для нанесения маркировки на упаковке недостаточно, химическая продукция сопровождается ярлыком или вкладышем.</w:t>
            </w:r>
          </w:p>
          <w:p>
            <w:pPr>
              <w:spacing w:after="20"/>
              <w:ind w:left="20"/>
              <w:jc w:val="both"/>
            </w:pPr>
            <w:r>
              <w:rPr>
                <w:rFonts w:ascii="Times New Roman"/>
                <w:b w:val="false"/>
                <w:i w:val="false"/>
                <w:color w:val="000000"/>
                <w:sz w:val="20"/>
              </w:rPr>
              <w:t>
Предупредительная маркировка наносится в виде знака опасности, символа опасности, сигнального слова и содержит описание мер по предупреждению 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изготовителем (уполномоченным изготовителем лицом), импортером химической продукции, выпускающих химическую продукцию в обращение на территории Евразийского экономического союза.</w:t>
            </w:r>
          </w:p>
          <w:p>
            <w:pPr>
              <w:spacing w:after="20"/>
              <w:ind w:left="20"/>
              <w:jc w:val="both"/>
            </w:pPr>
            <w:r>
              <w:rPr>
                <w:rFonts w:ascii="Times New Roman"/>
                <w:b w:val="false"/>
                <w:i w:val="false"/>
                <w:color w:val="000000"/>
                <w:sz w:val="20"/>
              </w:rPr>
              <w:t>
Паспорт безопасности при поставках химической продукции включается в состав сопроводительной документации на химическую продукцию, который оформляется до выпуска химической продукции в обращение на территории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переиздание паспорта безопасности химической продукции в случаях:</w:t>
            </w:r>
          </w:p>
          <w:p>
            <w:pPr>
              <w:spacing w:after="20"/>
              <w:ind w:left="20"/>
              <w:jc w:val="both"/>
            </w:pPr>
            <w:r>
              <w:rPr>
                <w:rFonts w:ascii="Times New Roman"/>
                <w:b w:val="false"/>
                <w:i w:val="false"/>
                <w:color w:val="000000"/>
                <w:sz w:val="20"/>
              </w:rPr>
              <w:t>
1) изменение наименования и адреса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xml:space="preserve">
2) изменение состава химической продукции, приводящее к повторной классификации этой продукции; </w:t>
            </w:r>
          </w:p>
          <w:p>
            <w:pPr>
              <w:spacing w:after="20"/>
              <w:ind w:left="20"/>
              <w:jc w:val="both"/>
            </w:pPr>
            <w:r>
              <w:rPr>
                <w:rFonts w:ascii="Times New Roman"/>
                <w:b w:val="false"/>
                <w:i w:val="false"/>
                <w:color w:val="000000"/>
                <w:sz w:val="20"/>
              </w:rPr>
              <w:t>
3) поступление дополнительной или новой информации, повышающей полноту и достоверность данных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содержащего следующую информацию о характеристиках и безопасной эксплуатации оборудования:</w:t>
            </w:r>
          </w:p>
          <w:p>
            <w:pPr>
              <w:spacing w:after="20"/>
              <w:ind w:left="20"/>
              <w:jc w:val="both"/>
            </w:pPr>
            <w:r>
              <w:rPr>
                <w:rFonts w:ascii="Times New Roman"/>
                <w:b w:val="false"/>
                <w:i w:val="false"/>
                <w:color w:val="000000"/>
                <w:sz w:val="20"/>
              </w:rPr>
              <w:t>
1) основные сведения об оборудовании (наименование и место нахождения (адрес) изготовителя (уполномоченного изготовителем лица), обозначение документа, в соответствии с которым произведено оборудование);</w:t>
            </w:r>
          </w:p>
          <w:p>
            <w:pPr>
              <w:spacing w:after="20"/>
              <w:ind w:left="20"/>
              <w:jc w:val="both"/>
            </w:pPr>
            <w:r>
              <w:rPr>
                <w:rFonts w:ascii="Times New Roman"/>
                <w:b w:val="false"/>
                <w:i w:val="false"/>
                <w:color w:val="000000"/>
                <w:sz w:val="20"/>
              </w:rPr>
              <w:t>
2) основные технические данные оборудования;</w:t>
            </w:r>
          </w:p>
          <w:p>
            <w:pPr>
              <w:spacing w:after="20"/>
              <w:ind w:left="20"/>
              <w:jc w:val="both"/>
            </w:pPr>
            <w:r>
              <w:rPr>
                <w:rFonts w:ascii="Times New Roman"/>
                <w:b w:val="false"/>
                <w:i w:val="false"/>
                <w:color w:val="000000"/>
                <w:sz w:val="20"/>
              </w:rPr>
              <w:t>
3) комплектность оборудования;</w:t>
            </w:r>
          </w:p>
          <w:p>
            <w:pPr>
              <w:spacing w:after="20"/>
              <w:ind w:left="20"/>
              <w:jc w:val="both"/>
            </w:pPr>
            <w:r>
              <w:rPr>
                <w:rFonts w:ascii="Times New Roman"/>
                <w:b w:val="false"/>
                <w:i w:val="false"/>
                <w:color w:val="000000"/>
                <w:sz w:val="20"/>
              </w:rPr>
              <w:t>
4) сведения о приемке оборудования;</w:t>
            </w:r>
          </w:p>
          <w:p>
            <w:pPr>
              <w:spacing w:after="20"/>
              <w:ind w:left="20"/>
              <w:jc w:val="both"/>
            </w:pPr>
            <w:r>
              <w:rPr>
                <w:rFonts w:ascii="Times New Roman"/>
                <w:b w:val="false"/>
                <w:i w:val="false"/>
                <w:color w:val="000000"/>
                <w:sz w:val="20"/>
              </w:rPr>
              <w:t>
5) сведения об упаковке оборудования;</w:t>
            </w:r>
          </w:p>
          <w:p>
            <w:pPr>
              <w:spacing w:after="20"/>
              <w:ind w:left="20"/>
              <w:jc w:val="both"/>
            </w:pPr>
            <w:r>
              <w:rPr>
                <w:rFonts w:ascii="Times New Roman"/>
                <w:b w:val="false"/>
                <w:i w:val="false"/>
                <w:color w:val="000000"/>
                <w:sz w:val="20"/>
              </w:rPr>
              <w:t>
6) гарантийные обязательства изготовителя оборудования;</w:t>
            </w:r>
          </w:p>
          <w:p>
            <w:pPr>
              <w:spacing w:after="20"/>
              <w:ind w:left="20"/>
              <w:jc w:val="both"/>
            </w:pPr>
            <w:r>
              <w:rPr>
                <w:rFonts w:ascii="Times New Roman"/>
                <w:b w:val="false"/>
                <w:i w:val="false"/>
                <w:color w:val="000000"/>
                <w:sz w:val="20"/>
              </w:rPr>
              <w:t>
7) сведения о хранении оборудования;</w:t>
            </w:r>
          </w:p>
          <w:p>
            <w:pPr>
              <w:spacing w:after="20"/>
              <w:ind w:left="20"/>
              <w:jc w:val="both"/>
            </w:pPr>
            <w:r>
              <w:rPr>
                <w:rFonts w:ascii="Times New Roman"/>
                <w:b w:val="false"/>
                <w:i w:val="false"/>
                <w:color w:val="000000"/>
                <w:sz w:val="20"/>
              </w:rPr>
              <w:t>
8) сведения о перевозке оборудования;</w:t>
            </w:r>
          </w:p>
          <w:p>
            <w:pPr>
              <w:spacing w:after="20"/>
              <w:ind w:left="20"/>
              <w:jc w:val="both"/>
            </w:pPr>
            <w:r>
              <w:rPr>
                <w:rFonts w:ascii="Times New Roman"/>
                <w:b w:val="false"/>
                <w:i w:val="false"/>
                <w:color w:val="000000"/>
                <w:sz w:val="20"/>
              </w:rPr>
              <w:t>
9) сведения о консервации и расконсервации оборудования при эксплуатации;</w:t>
            </w:r>
          </w:p>
          <w:p>
            <w:pPr>
              <w:spacing w:after="20"/>
              <w:ind w:left="20"/>
              <w:jc w:val="both"/>
            </w:pPr>
            <w:r>
              <w:rPr>
                <w:rFonts w:ascii="Times New Roman"/>
                <w:b w:val="false"/>
                <w:i w:val="false"/>
                <w:color w:val="000000"/>
                <w:sz w:val="20"/>
              </w:rPr>
              <w:t>
10) рекомендуемый тип покрытия;</w:t>
            </w:r>
          </w:p>
          <w:p>
            <w:pPr>
              <w:spacing w:after="20"/>
              <w:ind w:left="20"/>
              <w:jc w:val="both"/>
            </w:pPr>
            <w:r>
              <w:rPr>
                <w:rFonts w:ascii="Times New Roman"/>
                <w:b w:val="false"/>
                <w:i w:val="false"/>
                <w:color w:val="000000"/>
                <w:sz w:val="20"/>
              </w:rPr>
              <w:t>
11) сведения об учете неисправностей оборудования при эксплуатации;</w:t>
            </w:r>
          </w:p>
          <w:p>
            <w:pPr>
              <w:spacing w:after="20"/>
              <w:ind w:left="20"/>
              <w:jc w:val="both"/>
            </w:pPr>
            <w:r>
              <w:rPr>
                <w:rFonts w:ascii="Times New Roman"/>
                <w:b w:val="false"/>
                <w:i w:val="false"/>
                <w:color w:val="000000"/>
                <w:sz w:val="20"/>
              </w:rPr>
              <w:t>
12) сведения об учете технического обслуживания оборудования;</w:t>
            </w:r>
          </w:p>
          <w:p>
            <w:pPr>
              <w:spacing w:after="20"/>
              <w:ind w:left="20"/>
              <w:jc w:val="both"/>
            </w:pPr>
            <w:r>
              <w:rPr>
                <w:rFonts w:ascii="Times New Roman"/>
                <w:b w:val="false"/>
                <w:i w:val="false"/>
                <w:color w:val="000000"/>
                <w:sz w:val="20"/>
              </w:rPr>
              <w:t>
13) сведения о ремонте, включая перечень деталей и частей оборудования, которые подвержены большим нагрузкам в процессе эксплуатации оборудования, а также срок и случаи их замены;</w:t>
            </w:r>
          </w:p>
          <w:p>
            <w:pPr>
              <w:spacing w:after="20"/>
              <w:ind w:left="20"/>
              <w:jc w:val="both"/>
            </w:pPr>
            <w:r>
              <w:rPr>
                <w:rFonts w:ascii="Times New Roman"/>
                <w:b w:val="false"/>
                <w:i w:val="false"/>
                <w:color w:val="000000"/>
                <w:sz w:val="20"/>
              </w:rPr>
              <w:t>
14) инструкция по монтажу оборудования;</w:t>
            </w:r>
          </w:p>
          <w:p>
            <w:pPr>
              <w:spacing w:after="20"/>
              <w:ind w:left="20"/>
              <w:jc w:val="both"/>
            </w:pPr>
            <w:r>
              <w:rPr>
                <w:rFonts w:ascii="Times New Roman"/>
                <w:b w:val="false"/>
                <w:i w:val="false"/>
                <w:color w:val="000000"/>
                <w:sz w:val="20"/>
              </w:rPr>
              <w:t>
15) правила безопасной эксплуатации оборудования;</w:t>
            </w:r>
          </w:p>
          <w:p>
            <w:pPr>
              <w:spacing w:after="20"/>
              <w:ind w:left="20"/>
              <w:jc w:val="both"/>
            </w:pPr>
            <w:r>
              <w:rPr>
                <w:rFonts w:ascii="Times New Roman"/>
                <w:b w:val="false"/>
                <w:i w:val="false"/>
                <w:color w:val="000000"/>
                <w:sz w:val="20"/>
              </w:rPr>
              <w:t>
16) инструкция по осмотру и проверке оборудования перед началом эксплуатации;</w:t>
            </w:r>
          </w:p>
          <w:p>
            <w:pPr>
              <w:spacing w:after="20"/>
              <w:ind w:left="20"/>
              <w:jc w:val="both"/>
            </w:pPr>
            <w:r>
              <w:rPr>
                <w:rFonts w:ascii="Times New Roman"/>
                <w:b w:val="false"/>
                <w:i w:val="false"/>
                <w:color w:val="000000"/>
                <w:sz w:val="20"/>
              </w:rPr>
              <w:t>
17) инструкция по осмотру, обслуживанию и ремонту оборудования;</w:t>
            </w:r>
          </w:p>
          <w:p>
            <w:pPr>
              <w:spacing w:after="20"/>
              <w:ind w:left="20"/>
              <w:jc w:val="both"/>
            </w:pPr>
            <w:r>
              <w:rPr>
                <w:rFonts w:ascii="Times New Roman"/>
                <w:b w:val="false"/>
                <w:i w:val="false"/>
                <w:color w:val="000000"/>
                <w:sz w:val="20"/>
              </w:rPr>
              <w:t>
18) сведения об утилизации оборудования;</w:t>
            </w:r>
          </w:p>
          <w:p>
            <w:pPr>
              <w:spacing w:after="20"/>
              <w:ind w:left="20"/>
              <w:jc w:val="both"/>
            </w:pPr>
            <w:r>
              <w:rPr>
                <w:rFonts w:ascii="Times New Roman"/>
                <w:b w:val="false"/>
                <w:i w:val="false"/>
                <w:color w:val="000000"/>
                <w:sz w:val="20"/>
              </w:rPr>
              <w:t>
19) месяц и год производства оборудования;</w:t>
            </w:r>
          </w:p>
          <w:p>
            <w:pPr>
              <w:spacing w:after="20"/>
              <w:ind w:left="20"/>
              <w:jc w:val="both"/>
            </w:pPr>
            <w:r>
              <w:rPr>
                <w:rFonts w:ascii="Times New Roman"/>
                <w:b w:val="false"/>
                <w:i w:val="false"/>
                <w:color w:val="000000"/>
                <w:sz w:val="20"/>
              </w:rPr>
              <w:t>
20) сведения о возрастных группах (включая ограничения по весу и росту);</w:t>
            </w:r>
          </w:p>
          <w:p>
            <w:pPr>
              <w:spacing w:after="20"/>
              <w:ind w:left="20"/>
              <w:jc w:val="both"/>
            </w:pPr>
            <w:r>
              <w:rPr>
                <w:rFonts w:ascii="Times New Roman"/>
                <w:b w:val="false"/>
                <w:i w:val="false"/>
                <w:color w:val="000000"/>
                <w:sz w:val="20"/>
              </w:rPr>
              <w:t>
21) назначенный срок службы;</w:t>
            </w:r>
          </w:p>
          <w:p>
            <w:pPr>
              <w:spacing w:after="20"/>
              <w:ind w:left="20"/>
              <w:jc w:val="both"/>
            </w:pPr>
            <w:r>
              <w:rPr>
                <w:rFonts w:ascii="Times New Roman"/>
                <w:b w:val="false"/>
                <w:i w:val="false"/>
                <w:color w:val="000000"/>
                <w:sz w:val="20"/>
              </w:rPr>
              <w:t>
22) особые отметки (при необходимости);</w:t>
            </w:r>
          </w:p>
          <w:p>
            <w:pPr>
              <w:spacing w:after="20"/>
              <w:ind w:left="20"/>
              <w:jc w:val="both"/>
            </w:pPr>
            <w:r>
              <w:rPr>
                <w:rFonts w:ascii="Times New Roman"/>
                <w:b w:val="false"/>
                <w:i w:val="false"/>
                <w:color w:val="000000"/>
                <w:sz w:val="20"/>
              </w:rPr>
              <w:t>
23) фото или графический рисунок (при необходимости цветные) оборудования;</w:t>
            </w:r>
          </w:p>
          <w:p>
            <w:pPr>
              <w:spacing w:after="20"/>
              <w:ind w:left="20"/>
              <w:jc w:val="both"/>
            </w:pPr>
            <w:r>
              <w:rPr>
                <w:rFonts w:ascii="Times New Roman"/>
                <w:b w:val="false"/>
                <w:i w:val="false"/>
                <w:color w:val="000000"/>
                <w:sz w:val="20"/>
              </w:rPr>
              <w:t>
24) чертеж общего вида оборудования с указанием основных размеров;</w:t>
            </w:r>
          </w:p>
          <w:p>
            <w:pPr>
              <w:spacing w:after="20"/>
              <w:ind w:left="20"/>
              <w:jc w:val="both"/>
            </w:pPr>
            <w:r>
              <w:rPr>
                <w:rFonts w:ascii="Times New Roman"/>
                <w:b w:val="false"/>
                <w:i w:val="false"/>
                <w:color w:val="000000"/>
                <w:sz w:val="20"/>
              </w:rPr>
              <w:t>
25) схема сборки оборудования;</w:t>
            </w:r>
          </w:p>
          <w:p>
            <w:pPr>
              <w:spacing w:after="20"/>
              <w:ind w:left="20"/>
              <w:jc w:val="both"/>
            </w:pPr>
            <w:r>
              <w:rPr>
                <w:rFonts w:ascii="Times New Roman"/>
                <w:b w:val="false"/>
                <w:i w:val="false"/>
                <w:color w:val="000000"/>
                <w:sz w:val="20"/>
              </w:rPr>
              <w:t>
26) схема (план) зоны падения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на русском языке и при наличии соответствующих требований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оборудование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при применении в качестве ударопоглощающего покрытия на детской игровой площадке сыпучих материалов толщину такого покрытия увеличивают (по сравнению с необходимой толщиной) на величину, достаточную для компенсации вытеснения данного материала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перевозке и хранению оборудования для детских игровых площадок и его элементов с учетом требований безопасности и сведений, указанных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детских игровых площадок и покрытия требованиям безопасности, в том числе требованиям к гигиенической безопасности материалов, применяемых при производстве оборудования и покрытия для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наличие паспорта оборудования детских игровых площадок с информацией о характеристиках и безопасной эксплуатации оборудования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конструкции оборудования детских игровых площадок следующим параметрам:</w:t>
            </w:r>
          </w:p>
          <w:p>
            <w:pPr>
              <w:spacing w:after="20"/>
              <w:ind w:left="20"/>
              <w:jc w:val="both"/>
            </w:pPr>
            <w:r>
              <w:rPr>
                <w:rFonts w:ascii="Times New Roman"/>
                <w:b w:val="false"/>
                <w:i w:val="false"/>
                <w:color w:val="000000"/>
                <w:sz w:val="20"/>
              </w:rPr>
              <w:t>
а) должна обеспечивать прочность, устойчивость, жесткость и неизменяемость;</w:t>
            </w:r>
          </w:p>
          <w:p>
            <w:pPr>
              <w:spacing w:after="20"/>
              <w:ind w:left="20"/>
              <w:jc w:val="both"/>
            </w:pPr>
            <w:r>
              <w:rPr>
                <w:rFonts w:ascii="Times New Roman"/>
                <w:b w:val="false"/>
                <w:i w:val="false"/>
                <w:color w:val="000000"/>
                <w:sz w:val="20"/>
              </w:rPr>
              <w:t>
б) должна иметь защиту от коррозии и старения с учетом степени агрессивности среды и стойкости используемых материалов;</w:t>
            </w:r>
          </w:p>
          <w:p>
            <w:pPr>
              <w:spacing w:after="20"/>
              <w:ind w:left="20"/>
              <w:jc w:val="both"/>
            </w:pPr>
            <w:r>
              <w:rPr>
                <w:rFonts w:ascii="Times New Roman"/>
                <w:b w:val="false"/>
                <w:i w:val="false"/>
                <w:color w:val="000000"/>
                <w:sz w:val="20"/>
              </w:rPr>
              <w:t>
в) не должна иметь выступающих элементов с острыми концами или кромками;</w:t>
            </w:r>
          </w:p>
          <w:p>
            <w:pPr>
              <w:spacing w:after="20"/>
              <w:ind w:left="20"/>
              <w:jc w:val="both"/>
            </w:pPr>
            <w:r>
              <w:rPr>
                <w:rFonts w:ascii="Times New Roman"/>
                <w:b w:val="false"/>
                <w:i w:val="false"/>
                <w:color w:val="000000"/>
                <w:sz w:val="20"/>
              </w:rPr>
              <w:t>
г) не должна иметь шероховатых поверхностей, способных нанести травму пользователю;</w:t>
            </w:r>
          </w:p>
          <w:p>
            <w:pPr>
              <w:spacing w:after="20"/>
              <w:ind w:left="20"/>
              <w:jc w:val="both"/>
            </w:pPr>
            <w:r>
              <w:rPr>
                <w:rFonts w:ascii="Times New Roman"/>
                <w:b w:val="false"/>
                <w:i w:val="false"/>
                <w:color w:val="000000"/>
                <w:sz w:val="20"/>
              </w:rPr>
              <w:t>
д) должна иметь защиту выступающих концов болтовых соединений;</w:t>
            </w:r>
          </w:p>
          <w:p>
            <w:pPr>
              <w:spacing w:after="20"/>
              <w:ind w:left="20"/>
              <w:jc w:val="both"/>
            </w:pPr>
            <w:r>
              <w:rPr>
                <w:rFonts w:ascii="Times New Roman"/>
                <w:b w:val="false"/>
                <w:i w:val="false"/>
                <w:color w:val="000000"/>
                <w:sz w:val="20"/>
              </w:rPr>
              <w:t>
е) должна иметь гладкие сварные швы;</w:t>
            </w:r>
          </w:p>
          <w:p>
            <w:pPr>
              <w:spacing w:after="20"/>
              <w:ind w:left="20"/>
              <w:jc w:val="both"/>
            </w:pPr>
            <w:r>
              <w:rPr>
                <w:rFonts w:ascii="Times New Roman"/>
                <w:b w:val="false"/>
                <w:i w:val="false"/>
                <w:color w:val="000000"/>
                <w:sz w:val="20"/>
              </w:rPr>
              <w:t>
ж) должна иметь закругленные углы и края любой доступной для пользователей части оборудования;</w:t>
            </w:r>
          </w:p>
          <w:p>
            <w:pPr>
              <w:spacing w:after="20"/>
              <w:ind w:left="20"/>
              <w:jc w:val="both"/>
            </w:pPr>
            <w:r>
              <w:rPr>
                <w:rFonts w:ascii="Times New Roman"/>
                <w:b w:val="false"/>
                <w:i w:val="false"/>
                <w:color w:val="000000"/>
                <w:sz w:val="20"/>
              </w:rPr>
              <w:t>
з) должна исключать возможность демонтажа без применения специализированных инструментов;</w:t>
            </w:r>
          </w:p>
          <w:p>
            <w:pPr>
              <w:spacing w:after="20"/>
              <w:ind w:left="20"/>
              <w:jc w:val="both"/>
            </w:pPr>
            <w:r>
              <w:rPr>
                <w:rFonts w:ascii="Times New Roman"/>
                <w:b w:val="false"/>
                <w:i w:val="false"/>
                <w:color w:val="000000"/>
                <w:sz w:val="20"/>
              </w:rPr>
              <w:t>
и) должна иметь защиту от несанкционированного доступа к элементам (комплектующим) оборудования, подлежащим периодическому обслуживанию или замене;</w:t>
            </w:r>
          </w:p>
          <w:p>
            <w:pPr>
              <w:spacing w:after="20"/>
              <w:ind w:left="20"/>
              <w:jc w:val="both"/>
            </w:pPr>
            <w:r>
              <w:rPr>
                <w:rFonts w:ascii="Times New Roman"/>
                <w:b w:val="false"/>
                <w:i w:val="false"/>
                <w:color w:val="000000"/>
                <w:sz w:val="20"/>
              </w:rPr>
              <w:t>
к) должна иметь размеры поперечного сечения элементов оборудования для захвата, при которых обеспечивается возможность захвата детьми;</w:t>
            </w:r>
          </w:p>
          <w:p>
            <w:pPr>
              <w:spacing w:after="20"/>
              <w:ind w:left="20"/>
              <w:jc w:val="both"/>
            </w:pPr>
            <w:r>
              <w:rPr>
                <w:rFonts w:ascii="Times New Roman"/>
                <w:b w:val="false"/>
                <w:i w:val="false"/>
                <w:color w:val="000000"/>
                <w:sz w:val="20"/>
              </w:rPr>
              <w:t>
л) должна исключать образование сдавливающих или режущих поверхностей между подвижными, а также подвижными и неподвижными элементами;</w:t>
            </w:r>
          </w:p>
          <w:p>
            <w:pPr>
              <w:spacing w:after="20"/>
              <w:ind w:left="20"/>
              <w:jc w:val="both"/>
            </w:pPr>
            <w:r>
              <w:rPr>
                <w:rFonts w:ascii="Times New Roman"/>
                <w:b w:val="false"/>
                <w:i w:val="false"/>
                <w:color w:val="000000"/>
                <w:sz w:val="20"/>
              </w:rPr>
              <w:t>
м) должна обеспечивать безопасные расстояния между подвижными элементами оборудования и поверхностью игровой площадки;</w:t>
            </w:r>
          </w:p>
          <w:p>
            <w:pPr>
              <w:spacing w:after="20"/>
              <w:ind w:left="20"/>
              <w:jc w:val="both"/>
            </w:pPr>
            <w:r>
              <w:rPr>
                <w:rFonts w:ascii="Times New Roman"/>
                <w:b w:val="false"/>
                <w:i w:val="false"/>
                <w:color w:val="000000"/>
                <w:sz w:val="20"/>
              </w:rPr>
              <w:t>
н) должна иметь оснащение перилами и ограждениями;</w:t>
            </w:r>
          </w:p>
          <w:p>
            <w:pPr>
              <w:spacing w:after="20"/>
              <w:ind w:left="20"/>
              <w:jc w:val="both"/>
            </w:pPr>
            <w:r>
              <w:rPr>
                <w:rFonts w:ascii="Times New Roman"/>
                <w:b w:val="false"/>
                <w:i w:val="false"/>
                <w:color w:val="000000"/>
                <w:sz w:val="20"/>
              </w:rPr>
              <w:t>
о) не должна допускать застревание тела, частей тела или одежды ребенка;</w:t>
            </w:r>
          </w:p>
          <w:p>
            <w:pPr>
              <w:spacing w:after="20"/>
              <w:ind w:left="20"/>
              <w:jc w:val="both"/>
            </w:pPr>
            <w:r>
              <w:rPr>
                <w:rFonts w:ascii="Times New Roman"/>
                <w:b w:val="false"/>
                <w:i w:val="false"/>
                <w:color w:val="000000"/>
                <w:sz w:val="20"/>
              </w:rPr>
              <w:t>
п) должна обладать необходимой несущей способностью к возникающим нагрузкам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закрытого оборудования (тоннели, игровые домики.) требованию, в соответствии с которым оно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детям без каких-либо дополнительных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по всей зоне приземления с оборудования детских игровых площадок ударопоглощающих покрытий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высоты свободного падения с оборудования детских игровых площадок типу ударопоглощающего покрытия и возможному перемещению ребенка и элементов конструкции оборудования, которая должна составлять не более 3 метров от поверхности, на которую пользователь опирается ногами, до зоны приземления и не более 4 метров от уровня захвата руками до зоны приземления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скольжения при любых погодных условиях поверхности платформ, проходов, трапов и лестниц оборудования и покрытия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наличия опасных выступов на ударопоглощающем покрытии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исключение наличия на ооборудовании и покрытии детских игровых площадок участков, на которых возможно застревания частей тела или одежды ребенка, при применении в качестве ударопоглощающего покрытия несыпучих материалов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обеспечение оборудования детских игровых площадок с высотой свободного падения более 60 см ударопоглощающим покрытием по всей зоне приземления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назначенных при проектировании сроков службы, сроков технического обслуживания и ремонта оборудования и покрытия детских игровых площадок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упаковки оборудования и покрытия или соответствующей товаросопроводительной документации с наименованием изготовителя и (или) его товарного знака, наименования и обозначения оборудования и (или) покрытия, сведения о возрастной группе, назначенного срока службы, обозначение документа, в соответствии с которым произведены оборудование и (или) покрытие конкретного вида.</w:t>
            </w:r>
          </w:p>
          <w:p>
            <w:pPr>
              <w:spacing w:after="20"/>
              <w:ind w:left="20"/>
              <w:jc w:val="both"/>
            </w:pPr>
            <w:r>
              <w:rPr>
                <w:rFonts w:ascii="Times New Roman"/>
                <w:b w:val="false"/>
                <w:i w:val="false"/>
                <w:color w:val="000000"/>
                <w:sz w:val="20"/>
              </w:rPr>
              <w:t>
Такая информация указывается на русском языке и при наличии соответствующих требований в законодательстве государства – члена Союза (далее – государство-член) на государственном (государственных) языке (языках) государства-члена, на территории которого реализуются оборудование и (или) покрытие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прекращение эксплуатации оборудования независимо от технического состояния оборудования по истечении назначенного срока службы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внесения эксплуатантом в конструкцию оборудования изменений, влияющих на безопасность его конструкции или элементов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детской игровой площадке информация в виде таблички (пиктограммы), содержащая:</w:t>
            </w:r>
          </w:p>
          <w:p>
            <w:pPr>
              <w:spacing w:after="20"/>
              <w:ind w:left="20"/>
              <w:jc w:val="both"/>
            </w:pPr>
            <w:r>
              <w:rPr>
                <w:rFonts w:ascii="Times New Roman"/>
                <w:b w:val="false"/>
                <w:i w:val="false"/>
                <w:color w:val="000000"/>
                <w:sz w:val="20"/>
              </w:rPr>
              <w:t>
а) правила пользования оборудованием и сведения о возрастных группах (включая ограничения по росту и весу);</w:t>
            </w:r>
          </w:p>
          <w:p>
            <w:pPr>
              <w:spacing w:after="20"/>
              <w:ind w:left="20"/>
              <w:jc w:val="both"/>
            </w:pPr>
            <w:r>
              <w:rPr>
                <w:rFonts w:ascii="Times New Roman"/>
                <w:b w:val="false"/>
                <w:i w:val="false"/>
                <w:color w:val="000000"/>
                <w:sz w:val="20"/>
              </w:rPr>
              <w:t>
б) номера телефонов службы спасения, скорой помощи;</w:t>
            </w:r>
          </w:p>
          <w:p>
            <w:pPr>
              <w:spacing w:after="20"/>
              <w:ind w:left="20"/>
              <w:jc w:val="both"/>
            </w:pPr>
            <w:r>
              <w:rPr>
                <w:rFonts w:ascii="Times New Roman"/>
                <w:b w:val="false"/>
                <w:i w:val="false"/>
                <w:color w:val="000000"/>
                <w:sz w:val="20"/>
              </w:rPr>
              <w:t>
в) номера телефонов эксплуатанта, по которым следует обращаться в случае неисправности или поломки оборудования.</w:t>
            </w:r>
          </w:p>
          <w:p>
            <w:pPr>
              <w:spacing w:after="20"/>
              <w:ind w:left="20"/>
              <w:jc w:val="both"/>
            </w:pPr>
            <w:r>
              <w:rPr>
                <w:rFonts w:ascii="Times New Roman"/>
                <w:b w:val="false"/>
                <w:i w:val="false"/>
                <w:color w:val="000000"/>
                <w:sz w:val="20"/>
              </w:rPr>
              <w:t>
В процессе эксплуатации оборудования должны соблюдаться ограничения по росту и весу, указанные в паспорте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обеспечения пожарной безопасности и пожаротушения предотвращения, снижения риска возникновения, ограничения развития пожара и распространения его опасных факторов, тушения пожара, спасения людей, защиты жизни и здоровья человека, имущества и окружающей среды от пожара, а также снижения риска причинения вреда и (или) нанесения ущерба вследствие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огнетушащими веществами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тушению тех материалов, взаимодействие с которыми не приводит к опасности возникновения новых очагов пожара или взрыва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требованиям по сохранению свойств, необходимых для тушения пожара, в процессе транспортирования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огнезащиты огнезащитной эффективности, обеспечивающей снижение пожарной опасности и повышение огнестойкости защищаемых объектов до нормируемого уровня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на средства огнезащиты информации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средства огнезащиты стальных конструкций и железобетонных конструкций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pPr>
              <w:spacing w:after="20"/>
              <w:ind w:left="20"/>
              <w:jc w:val="both"/>
            </w:pPr>
            <w:r>
              <w:rPr>
                <w:rFonts w:ascii="Times New Roman"/>
                <w:b w:val="false"/>
                <w:i w:val="false"/>
                <w:color w:val="000000"/>
                <w:sz w:val="20"/>
              </w:rPr>
              <w:t>
При этом 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указывается с учетом дополнительного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кабелей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древесины и материалов на ее основе сведения о плотности состава и его расход на единицу площади или объема (в зависимости от способа нанесения). При установлении изготовителем срока службы средств огнезащиты древесины и материалов на ее основе более 1 года, он подтверждается испытаниями на устойчивость к старению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изделий погонных электромонтажных из неметаллических материалов теплостойкости, стойкости к зажиганию нагретой проволокой, стойкости к воздействию открытого пламени и стойкости к распространению горения при одиночной или групповой прокладке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огнетушителей требованиям по тушению модельных очагов пожара. Прочностные характеристики конструктивных элементов переносных и передвижных огнетушителей обеспечивают безопасность применения таких огнетушителей при тушении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пожарных кранов и клапанов пожарных запорных, применяемых в пожарных кранах, возможности открывания запорного устройства одним человеком и подачу воды из системы противопожарного водопровода с требуемым (нормируемым) расходом. Конструкция головок соединительных пожарных кранов обеспечивает подсоединение к ним пожарных рукавов, используемых пожарными подразделениями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шкафах в зависимости от их назначения, первичных средств пожаротушения, пожарного оборудования, средств индивидуальной защиты и спасения людей. Конструкция пожарных шкафов обеспечивает быстрое и безопасное использование находящихся в них технических средств. Пожарные шкафы изготовлены из негорючих материалов. Внешнее оформление пожарных шкафов и сведения об их содержимом обеспечивает возможность оперативного информирования о наличии и составе размещаемых в пожарных шкафах технических средств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средств пожаротушения выполнению одной или нескольких из следующих функций:</w:t>
            </w:r>
          </w:p>
          <w:p>
            <w:pPr>
              <w:spacing w:after="20"/>
              <w:ind w:left="20"/>
              <w:jc w:val="both"/>
            </w:pPr>
            <w:r>
              <w:rPr>
                <w:rFonts w:ascii="Times New Roman"/>
                <w:b w:val="false"/>
                <w:i w:val="false"/>
                <w:color w:val="000000"/>
                <w:sz w:val="20"/>
              </w:rPr>
              <w:t>
1)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pPr>
              <w:spacing w:after="20"/>
              <w:ind w:left="20"/>
              <w:jc w:val="both"/>
            </w:pPr>
            <w:r>
              <w:rPr>
                <w:rFonts w:ascii="Times New Roman"/>
                <w:b w:val="false"/>
                <w:i w:val="false"/>
                <w:color w:val="000000"/>
                <w:sz w:val="20"/>
              </w:rPr>
              <w:t>
2) подача в зону пожара огнетушащих веществ;</w:t>
            </w:r>
          </w:p>
          <w:p>
            <w:pPr>
              <w:spacing w:after="20"/>
              <w:ind w:left="20"/>
              <w:jc w:val="both"/>
            </w:pPr>
            <w:r>
              <w:rPr>
                <w:rFonts w:ascii="Times New Roman"/>
                <w:b w:val="false"/>
                <w:i w:val="false"/>
                <w:color w:val="000000"/>
                <w:sz w:val="20"/>
              </w:rPr>
              <w:t>
3) проведение аварийно-спасательных работ, связанных с тушением пожара;</w:t>
            </w:r>
          </w:p>
          <w:p>
            <w:pPr>
              <w:spacing w:after="20"/>
              <w:ind w:left="20"/>
              <w:jc w:val="both"/>
            </w:pPr>
            <w:r>
              <w:rPr>
                <w:rFonts w:ascii="Times New Roman"/>
                <w:b w:val="false"/>
                <w:i w:val="false"/>
                <w:color w:val="000000"/>
                <w:sz w:val="20"/>
              </w:rPr>
              <w:t>
обеспечение безопасности работ, выполняемых пожарными подразделениями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мотопомп пожарных, забору и подачи воды из водопроводной сети, емкостей и открытых водных источников с требуемым для тушения пожара расходом и рабочим давлением. Конструкция переносных мотопомп пожарных обеспечивает возможность их переноски 2 операторами и установки на грунт (водную поверхность). Прицепные мотопомпы пожарные стационарно монтированы на прицепах. Конструкция прицепов обеспечивает безопасность транспортирования мотопомп пожарных к месту пожара и их устойчивое размещение при заборе и подаче воды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подачи воды, водных растворов пенообразователей требуемым (нормируемым) расходам и рабочим давлению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в зависимости от их конструктивных особенностей и основных параметров, нижеследующему:</w:t>
            </w:r>
          </w:p>
          <w:p>
            <w:pPr>
              <w:spacing w:after="20"/>
              <w:ind w:left="20"/>
              <w:jc w:val="both"/>
            </w:pPr>
            <w:r>
              <w:rPr>
                <w:rFonts w:ascii="Times New Roman"/>
                <w:b w:val="false"/>
                <w:i w:val="false"/>
                <w:color w:val="000000"/>
                <w:sz w:val="20"/>
              </w:rPr>
              <w:t>
1) подачу воды и огнетушащих растворов при нормальном давлении;</w:t>
            </w:r>
          </w:p>
          <w:p>
            <w:pPr>
              <w:spacing w:after="20"/>
              <w:ind w:left="20"/>
              <w:jc w:val="both"/>
            </w:pPr>
            <w:r>
              <w:rPr>
                <w:rFonts w:ascii="Times New Roman"/>
                <w:b w:val="false"/>
                <w:i w:val="false"/>
                <w:color w:val="000000"/>
                <w:sz w:val="20"/>
              </w:rPr>
              <w:t>
2) подачу воды и огнетушащих растворов при высоком давлении;</w:t>
            </w:r>
          </w:p>
          <w:p>
            <w:pPr>
              <w:spacing w:after="20"/>
              <w:ind w:left="20"/>
              <w:jc w:val="both"/>
            </w:pPr>
            <w:r>
              <w:rPr>
                <w:rFonts w:ascii="Times New Roman"/>
                <w:b w:val="false"/>
                <w:i w:val="false"/>
                <w:color w:val="000000"/>
                <w:sz w:val="20"/>
              </w:rPr>
              <w:t>
3) одновременную подачу воды и огнетушащих растворов при нормальном и высоком давлении;</w:t>
            </w:r>
          </w:p>
          <w:p>
            <w:pPr>
              <w:spacing w:after="20"/>
              <w:ind w:left="20"/>
              <w:jc w:val="both"/>
            </w:pPr>
            <w:r>
              <w:rPr>
                <w:rFonts w:ascii="Times New Roman"/>
                <w:b w:val="false"/>
                <w:i w:val="false"/>
                <w:color w:val="000000"/>
                <w:sz w:val="20"/>
              </w:rPr>
              <w:t>
забор (всасывание) воды из открытых водных источников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автоматическое обнаружение пожара, автоматическое либо автоматическое и ручное включение сигнала о пожаре;</w:t>
            </w:r>
          </w:p>
          <w:p>
            <w:pPr>
              <w:spacing w:after="20"/>
              <w:ind w:left="20"/>
              <w:jc w:val="both"/>
            </w:pPr>
            <w:r>
              <w:rPr>
                <w:rFonts w:ascii="Times New Roman"/>
                <w:b w:val="false"/>
                <w:i w:val="false"/>
                <w:color w:val="000000"/>
                <w:sz w:val="20"/>
              </w:rPr>
              <w:t>
2) информирование дежурного персонала о пожаре;</w:t>
            </w:r>
          </w:p>
          <w:p>
            <w:pPr>
              <w:spacing w:after="20"/>
              <w:ind w:left="20"/>
              <w:jc w:val="both"/>
            </w:pPr>
            <w:r>
              <w:rPr>
                <w:rFonts w:ascii="Times New Roman"/>
                <w:b w:val="false"/>
                <w:i w:val="false"/>
                <w:color w:val="000000"/>
                <w:sz w:val="20"/>
              </w:rPr>
              <w:t>
3)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 4) формирование сигналов управления инженерным и технологическим оборудованием;</w:t>
            </w:r>
          </w:p>
          <w:p>
            <w:pPr>
              <w:spacing w:after="20"/>
              <w:ind w:left="20"/>
              <w:jc w:val="both"/>
            </w:pPr>
            <w:r>
              <w:rPr>
                <w:rFonts w:ascii="Times New Roman"/>
                <w:b w:val="false"/>
                <w:i w:val="false"/>
                <w:color w:val="000000"/>
                <w:sz w:val="20"/>
              </w:rPr>
              <w:t>
4)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электрической и информационной совместимости друг с другом, а также с другими взаимодействующими с ними техническими средствами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работоспособности в условиях повышенных температуры и влажности, а также при механических воздействиях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обнаружение пожара;</w:t>
            </w:r>
          </w:p>
          <w:p>
            <w:pPr>
              <w:spacing w:after="20"/>
              <w:ind w:left="20"/>
              <w:jc w:val="both"/>
            </w:pPr>
            <w:r>
              <w:rPr>
                <w:rFonts w:ascii="Times New Roman"/>
                <w:b w:val="false"/>
                <w:i w:val="false"/>
                <w:color w:val="000000"/>
                <w:sz w:val="20"/>
              </w:rPr>
              <w:t>
2) формирование, сбор, обработка, регистрация и передача в заданном виде сигналов о пожаре, режимах работы системы пожарной сигнализации;</w:t>
            </w:r>
          </w:p>
          <w:p>
            <w:pPr>
              <w:spacing w:after="20"/>
              <w:ind w:left="20"/>
              <w:jc w:val="both"/>
            </w:pPr>
            <w:r>
              <w:rPr>
                <w:rFonts w:ascii="Times New Roman"/>
                <w:b w:val="false"/>
                <w:i w:val="false"/>
                <w:color w:val="000000"/>
                <w:sz w:val="20"/>
              </w:rPr>
              <w:t>
подача сигналов на управление техническими средствами противопожарной защиты, технологическим, электротехническим и другим оборудованием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передачи извещений о пожаре, требованиям по обеспечению:</w:t>
            </w:r>
          </w:p>
          <w:p>
            <w:pPr>
              <w:spacing w:after="20"/>
              <w:ind w:left="20"/>
              <w:jc w:val="both"/>
            </w:pPr>
            <w:r>
              <w:rPr>
                <w:rFonts w:ascii="Times New Roman"/>
                <w:b w:val="false"/>
                <w:i w:val="false"/>
                <w:color w:val="000000"/>
                <w:sz w:val="20"/>
              </w:rPr>
              <w:t>
1) передачи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pPr>
              <w:spacing w:after="20"/>
              <w:ind w:left="20"/>
              <w:jc w:val="both"/>
            </w:pPr>
            <w:r>
              <w:rPr>
                <w:rFonts w:ascii="Times New Roman"/>
                <w:b w:val="false"/>
                <w:i w:val="false"/>
                <w:color w:val="000000"/>
                <w:sz w:val="20"/>
              </w:rPr>
              <w:t>
3) автоматического контроля исправности линий связи между системой пожарной автоматики объекта и пультом централизованного наблюдения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требованиям по информированию людей о пожаре в течение времени, необходимого для эвакуации людей, а также выдачи дополнительной информации о путях и способах эвакуации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требованию по информированию людей о пожаре одним из следующих способов или в любой их приемлемой комбинации:</w:t>
            </w:r>
          </w:p>
          <w:p>
            <w:pPr>
              <w:spacing w:after="20"/>
              <w:ind w:left="20"/>
              <w:jc w:val="both"/>
            </w:pPr>
            <w:r>
              <w:rPr>
                <w:rFonts w:ascii="Times New Roman"/>
                <w:b w:val="false"/>
                <w:i w:val="false"/>
                <w:color w:val="000000"/>
                <w:sz w:val="20"/>
              </w:rPr>
              <w:t>
1) подача световых, звуковых и речевых сигналов во все помещения здания, в которых постоянно или временно находятся люди;</w:t>
            </w:r>
          </w:p>
          <w:p>
            <w:pPr>
              <w:spacing w:after="20"/>
              <w:ind w:left="20"/>
              <w:jc w:val="both"/>
            </w:pPr>
            <w:r>
              <w:rPr>
                <w:rFonts w:ascii="Times New Roman"/>
                <w:b w:val="false"/>
                <w:i w:val="false"/>
                <w:color w:val="000000"/>
                <w:sz w:val="20"/>
              </w:rPr>
              <w:t>
2) трансляция специально разработанных текстов о необходимости эвакуации, путях эвакуации, направлении движения и действиях, направленных на обеспечение безопасности людей и предотвращение возникновения паники при пожаре;</w:t>
            </w:r>
          </w:p>
          <w:p>
            <w:pPr>
              <w:spacing w:after="20"/>
              <w:ind w:left="20"/>
              <w:jc w:val="both"/>
            </w:pPr>
            <w:r>
              <w:rPr>
                <w:rFonts w:ascii="Times New Roman"/>
                <w:b w:val="false"/>
                <w:i w:val="false"/>
                <w:color w:val="000000"/>
                <w:sz w:val="20"/>
              </w:rPr>
              <w:t>
3) 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pPr>
              <w:spacing w:after="20"/>
              <w:ind w:left="20"/>
              <w:jc w:val="both"/>
            </w:pPr>
            <w:r>
              <w:rPr>
                <w:rFonts w:ascii="Times New Roman"/>
                <w:b w:val="false"/>
                <w:i w:val="false"/>
                <w:color w:val="000000"/>
                <w:sz w:val="20"/>
              </w:rPr>
              <w:t>
4) освещение знаков пожарной безопасности на путях эвакуации в течение нормативного времени;</w:t>
            </w:r>
          </w:p>
          <w:p>
            <w:pPr>
              <w:spacing w:after="20"/>
              <w:ind w:left="20"/>
              <w:jc w:val="both"/>
            </w:pPr>
            <w:r>
              <w:rPr>
                <w:rFonts w:ascii="Times New Roman"/>
                <w:b w:val="false"/>
                <w:i w:val="false"/>
                <w:color w:val="000000"/>
                <w:sz w:val="20"/>
              </w:rPr>
              <w:t>
5) включение эвакуационного (аварийного) освещения от сигнала пожарной автоматики;</w:t>
            </w:r>
          </w:p>
          <w:p>
            <w:pPr>
              <w:spacing w:after="20"/>
              <w:ind w:left="20"/>
              <w:jc w:val="both"/>
            </w:pPr>
            <w:r>
              <w:rPr>
                <w:rFonts w:ascii="Times New Roman"/>
                <w:b w:val="false"/>
                <w:i w:val="false"/>
                <w:color w:val="000000"/>
                <w:sz w:val="20"/>
              </w:rPr>
              <w:t>
6) дистанционное открывание запоров дверей эвакуационных выходов;</w:t>
            </w:r>
          </w:p>
          <w:p>
            <w:pPr>
              <w:spacing w:after="20"/>
              <w:ind w:left="20"/>
              <w:jc w:val="both"/>
            </w:pPr>
            <w:r>
              <w:rPr>
                <w:rFonts w:ascii="Times New Roman"/>
                <w:b w:val="false"/>
                <w:i w:val="false"/>
                <w:color w:val="000000"/>
                <w:sz w:val="20"/>
              </w:rPr>
              <w:t>
7) обеспечение пожарного поста (диспетчерской) связью с зонами оповещения людей о пожаре;</w:t>
            </w:r>
          </w:p>
          <w:p>
            <w:pPr>
              <w:spacing w:after="20"/>
              <w:ind w:left="20"/>
              <w:jc w:val="both"/>
            </w:pPr>
            <w:r>
              <w:rPr>
                <w:rFonts w:ascii="Times New Roman"/>
                <w:b w:val="false"/>
                <w:i w:val="false"/>
                <w:color w:val="000000"/>
                <w:sz w:val="20"/>
              </w:rPr>
              <w:t>
иные способы информирования людей при эвакуации. Сигналы оповещения о пожаре отличаются от сигналов другого назначения. Оповещатели пожарные при необходимости подключаются к электрической сети, а также к другим необходимым линиям связи без использования разъемных устройств. Оповещатели пожарные не имеют возможности регулировки уровня громкости при передаче звуковых и речевых сигналов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(без участия человека) обнаружению пожара, требованию по передаче сигнала о пожаре во внешние цепи и подаче (выпуску) огнетушащего вещества в зону пожара.</w:t>
            </w:r>
          </w:p>
          <w:p>
            <w:pPr>
              <w:spacing w:after="20"/>
              <w:ind w:left="20"/>
              <w:jc w:val="both"/>
            </w:pPr>
            <w:r>
              <w:rPr>
                <w:rFonts w:ascii="Times New Roman"/>
                <w:b w:val="false"/>
                <w:i w:val="false"/>
                <w:color w:val="000000"/>
                <w:sz w:val="20"/>
              </w:rPr>
              <w:t>
Технические средства, функционирующие в составе установок пожаротушения автономных, обеспечивают выполнение указанных функций независимо от наличия внешних источников питания и систем управления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установок пожаротушения роботизированных и технических средств, функционирующих в составе установок пожаротушения роботизированных, </w:t>
            </w:r>
          </w:p>
          <w:p>
            <w:pPr>
              <w:spacing w:after="20"/>
              <w:ind w:left="20"/>
              <w:jc w:val="both"/>
            </w:pPr>
            <w:r>
              <w:rPr>
                <w:rFonts w:ascii="Times New Roman"/>
                <w:b w:val="false"/>
                <w:i w:val="false"/>
                <w:color w:val="000000"/>
                <w:sz w:val="20"/>
              </w:rPr>
              <w:t>
обнаружению очага возгорания, обеспечению подачи огнетушащего вещества в зону пожара с требуемыми (нормируемыми) характеристиками (интенсивностью подачи, кратностью 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пожаротушения автономных подачи (выпуска) огнетушащего вещества при их срабатывании от воздействия одного или нескольких опасных факторов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робототехнических комплексов выдвижению в зону проведения работ и выполнению функций тушения пожара путем подачи огнетушащего вещества и видов аварийно- спасательных работ без непосредственного участия (нахождения) человека в опасной зоне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требованию по защите личного состава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ликвидации последствий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эргономическому требованию по сочетанию друг с другом и наличию светосигнальных элементов, позволяющих осуществлять визуальное наблюдение и поиск пожарных в условиях пониженной видимости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индивидуальной защиты, требованию по защите пожарного при работе в среде, непригодной для дыхания и раздражающей слизистую оболочку глаз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по принципу действия и условиям следующего применения:</w:t>
            </w:r>
          </w:p>
          <w:p>
            <w:pPr>
              <w:spacing w:after="20"/>
              <w:ind w:left="20"/>
              <w:jc w:val="both"/>
            </w:pPr>
            <w:r>
              <w:rPr>
                <w:rFonts w:ascii="Times New Roman"/>
                <w:b w:val="false"/>
                <w:i w:val="false"/>
                <w:color w:val="000000"/>
                <w:sz w:val="20"/>
              </w:rPr>
              <w:t>
1)аппараты дыхательные изолирующие пожарные (со сжатым воздухом, сжатым кислородом) – для тушения любых пожаров;</w:t>
            </w:r>
          </w:p>
          <w:p>
            <w:pPr>
              <w:spacing w:after="20"/>
              <w:ind w:left="20"/>
              <w:jc w:val="both"/>
            </w:pPr>
            <w:r>
              <w:rPr>
                <w:rFonts w:ascii="Times New Roman"/>
                <w:b w:val="false"/>
                <w:i w:val="false"/>
                <w:color w:val="000000"/>
                <w:sz w:val="20"/>
              </w:rPr>
              <w:t>
2)средства индивидуальной защиты органов дыхания и зрения фильтрующие пожарные – для тушения природных пожаров на открытом воздухе;</w:t>
            </w:r>
          </w:p>
          <w:p>
            <w:pPr>
              <w:spacing w:after="20"/>
              <w:ind w:left="20"/>
              <w:jc w:val="both"/>
            </w:pPr>
            <w:r>
              <w:rPr>
                <w:rFonts w:ascii="Times New Roman"/>
                <w:b w:val="false"/>
                <w:i w:val="false"/>
                <w:color w:val="000000"/>
                <w:sz w:val="20"/>
              </w:rPr>
              <w:t>
самоспасатели изолирующие пожарные – для самоспасения пожарных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требованию по стойкости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аппаратов дыхательных изолирующих пожарных (со сжатым воздухом, сжатым кислородом) требованию по поддержанию избыточного давления в подмасочном пространстве лицевой части в процессе дыхания человека. Номинальное время защитного действия аппаратов дыхательных изолирующих пожарных со сжатым воздухом не менее 60 минут, а аппаратов дыхательных изолирующих пожарных со сжатым кислородом – не менее 240 минут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конструктивного исполнения средств индивидуальной защиты органов дыхания и зрения пожарных быстрой замене (без применения специальных инструментов) баллонов с дыхательной смесью и регенеративных (поглотительных) патронов (брикетов)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самоспасателей изолирующих пожарных необходимому уровню защиты органов дыхания и зрения пожарного от опасных факторов пожара в течение не менее 25 минут. Самоспасатели изолирующие пожарные обладают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компрессорных установок для наполнения баллонов аппаратов дыхательных изолирующих пожарных требованию по наполнению воздухом 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p>
            <w:pPr>
              <w:spacing w:after="20"/>
              <w:ind w:left="20"/>
              <w:jc w:val="both"/>
            </w:pPr>
            <w:r>
              <w:rPr>
                <w:rFonts w:ascii="Times New Roman"/>
                <w:b w:val="false"/>
                <w:i w:val="false"/>
                <w:color w:val="000000"/>
                <w:sz w:val="20"/>
              </w:rPr>
              <w:t>
Рабочее давление компрессорных установок для наполнения баллонов аппаратов дыхательных изолирующих пожарных сжатым воздухом составляет не менее 29,4 МПа, а компрессорных кислородных установок – не менее 20,0 МПа.</w:t>
            </w:r>
          </w:p>
          <w:p>
            <w:pPr>
              <w:spacing w:after="20"/>
              <w:ind w:left="20"/>
              <w:jc w:val="both"/>
            </w:pPr>
            <w:r>
              <w:rPr>
                <w:rFonts w:ascii="Times New Roman"/>
                <w:b w:val="false"/>
                <w:i w:val="false"/>
                <w:color w:val="000000"/>
                <w:sz w:val="20"/>
              </w:rPr>
              <w:t>
Компрессорные установки для наполнения баллонов аппаратов дыхательных изолирующих пожарных рассчитаны на применение в следующих климатических условиях:</w:t>
            </w:r>
          </w:p>
          <w:p>
            <w:pPr>
              <w:spacing w:after="20"/>
              <w:ind w:left="20"/>
              <w:jc w:val="both"/>
            </w:pPr>
            <w:r>
              <w:rPr>
                <w:rFonts w:ascii="Times New Roman"/>
                <w:b w:val="false"/>
                <w:i w:val="false"/>
                <w:color w:val="000000"/>
                <w:sz w:val="20"/>
              </w:rPr>
              <w:t>
переносные и стационарные – с температурой окружающей среды от + 5С до + 40С;</w:t>
            </w:r>
          </w:p>
          <w:p>
            <w:pPr>
              <w:spacing w:after="20"/>
              <w:ind w:left="20"/>
              <w:jc w:val="both"/>
            </w:pPr>
            <w:r>
              <w:rPr>
                <w:rFonts w:ascii="Times New Roman"/>
                <w:b w:val="false"/>
                <w:i w:val="false"/>
                <w:color w:val="000000"/>
                <w:sz w:val="20"/>
              </w:rPr>
              <w:t>
мобильные – при температуре окружающей среды от -50С до + 50С.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определению статистических или динамических испытаний установок для проверки аппаратов дыхательных изолирующих пожарных для проверки технических параметров аппаратов дыхательных изолирующих пожарных со сжатым воздухом и сжатым кислородом на стационарных постах и автомобилях газодымозащитной службы пожарной охраны, а также в сервисных центрах.</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статических испытаний аппаратов дыхательных изолирующих пожарных в диапазоне температур окружающего воздуха от + 5С до + 40С.</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динамических испытаний аппаратов дыхательных изолирующих пожарных в режимах дыхания, характеризующихся легочной вентиляцией от 30 до 100 дм</w:t>
            </w:r>
            <w:r>
              <w:rPr>
                <w:rFonts w:ascii="Times New Roman"/>
                <w:b w:val="false"/>
                <w:i w:val="false"/>
                <w:color w:val="000000"/>
                <w:vertAlign w:val="superscript"/>
              </w:rPr>
              <w:t>3</w:t>
            </w:r>
            <w:r>
              <w:rPr>
                <w:rFonts w:ascii="Times New Roman"/>
                <w:b w:val="false"/>
                <w:i w:val="false"/>
                <w:color w:val="000000"/>
                <w:sz w:val="20"/>
              </w:rPr>
              <w:t xml:space="preserve"> х мин-1 (для аппаратов дыхательных изолирующих пожарных со сжатым воздухом) и от 30 до 85 дм</w:t>
            </w:r>
            <w:r>
              <w:rPr>
                <w:rFonts w:ascii="Times New Roman"/>
                <w:b w:val="false"/>
                <w:i w:val="false"/>
                <w:color w:val="000000"/>
                <w:vertAlign w:val="superscript"/>
              </w:rPr>
              <w:t>3</w:t>
            </w:r>
            <w:r>
              <w:rPr>
                <w:rFonts w:ascii="Times New Roman"/>
                <w:b w:val="false"/>
                <w:i w:val="false"/>
                <w:color w:val="000000"/>
                <w:sz w:val="20"/>
              </w:rPr>
              <w:t xml:space="preserve"> х мин-1 (для аппаратов дыхательных изолирующих пожарных со сжатым кислородом).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подразделению специальной защитной одежды пожарного на:</w:t>
            </w:r>
          </w:p>
          <w:p>
            <w:pPr>
              <w:spacing w:after="20"/>
              <w:ind w:left="20"/>
              <w:jc w:val="both"/>
            </w:pPr>
            <w:r>
              <w:rPr>
                <w:rFonts w:ascii="Times New Roman"/>
                <w:b w:val="false"/>
                <w:i w:val="false"/>
                <w:color w:val="000000"/>
                <w:sz w:val="20"/>
              </w:rPr>
              <w:t>
1) специальную защитную одежду пожарного общего назначения;</w:t>
            </w:r>
          </w:p>
          <w:p>
            <w:pPr>
              <w:spacing w:after="20"/>
              <w:ind w:left="20"/>
              <w:jc w:val="both"/>
            </w:pPr>
            <w:r>
              <w:rPr>
                <w:rFonts w:ascii="Times New Roman"/>
                <w:b w:val="false"/>
                <w:i w:val="false"/>
                <w:color w:val="000000"/>
                <w:sz w:val="20"/>
              </w:rPr>
              <w:t>
2) специальную защитную одежду пожарного от повышенных тепловых воздействий;</w:t>
            </w:r>
          </w:p>
          <w:p>
            <w:pPr>
              <w:spacing w:after="20"/>
              <w:ind w:left="20"/>
              <w:jc w:val="both"/>
            </w:pPr>
            <w:r>
              <w:rPr>
                <w:rFonts w:ascii="Times New Roman"/>
                <w:b w:val="false"/>
                <w:i w:val="false"/>
                <w:color w:val="000000"/>
                <w:sz w:val="20"/>
              </w:rPr>
              <w:t>
3) специальную защитную одежду пожарного изолирующего типа;</w:t>
            </w:r>
          </w:p>
          <w:p>
            <w:pPr>
              <w:spacing w:after="20"/>
              <w:ind w:left="20"/>
              <w:jc w:val="both"/>
            </w:pPr>
            <w:r>
              <w:rPr>
                <w:rFonts w:ascii="Times New Roman"/>
                <w:b w:val="false"/>
                <w:i w:val="false"/>
                <w:color w:val="000000"/>
                <w:sz w:val="20"/>
              </w:rPr>
              <w:t>
4) белье термостойкое для пожарных;</w:t>
            </w:r>
          </w:p>
          <w:p>
            <w:pPr>
              <w:spacing w:after="20"/>
              <w:ind w:left="20"/>
              <w:jc w:val="both"/>
            </w:pPr>
            <w:r>
              <w:rPr>
                <w:rFonts w:ascii="Times New Roman"/>
                <w:b w:val="false"/>
                <w:i w:val="false"/>
                <w:color w:val="000000"/>
                <w:sz w:val="20"/>
              </w:rPr>
              <w:t>
5) подшлемник для пожарных. Специальная защитная одежда пожарного обеспечивать защиту от опасных факторов пожара и неблагоприятных климатических воздействий, при этом степень защиты характеризоваться показателями, значения которых устанавливаются в соответствии с необходимостью обеспечения безопасных условий труда пожарных. Конструктивное исполнение специальной защитной одежды пожарного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pPr>
              <w:spacing w:after="20"/>
              <w:ind w:left="20"/>
              <w:jc w:val="both"/>
            </w:pPr>
            <w:r>
              <w:rPr>
                <w:rFonts w:ascii="Times New Roman"/>
                <w:b w:val="false"/>
                <w:i w:val="false"/>
                <w:color w:val="000000"/>
                <w:sz w:val="20"/>
              </w:rPr>
              <w:t>
Конструкция специальной защитной одежды пожарного изолирующего типа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w:t>
            </w:r>
          </w:p>
          <w:p>
            <w:pPr>
              <w:spacing w:after="20"/>
              <w:ind w:left="20"/>
              <w:jc w:val="both"/>
            </w:pPr>
            <w:r>
              <w:rPr>
                <w:rFonts w:ascii="Times New Roman"/>
                <w:b w:val="false"/>
                <w:i w:val="false"/>
                <w:color w:val="000000"/>
                <w:sz w:val="20"/>
              </w:rPr>
              <w:t>
Специальная защитная одежда пожарного изолирующего типа, используемая при тушении пожаров на опасных производственных объектах, обеспечивать защиту от попадания на кожные покровы и во внутренние органы человека агрессивных 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не менее 150, коэффициент ослабления внешнего воздействия гамма-излучением с энергией 122 кэВ (источник Co57) – не менее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подшлемника для пожарных и белья термостойкого, используемых вместе со специальной защитной одеждой пожарного, необходимому эргономическому и физиолого-гигиеническому уровню при выполнении любых видов работ, связанных с тушением пожаров и ликвидацией последствий чрезвычайных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головы (каски пожарные) требованию по защите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рук пожарного требованию по защите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обладать необходимыми эргономическими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ног пожарного защите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обладать необходимыми эргономическими свойствами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самостоятельному перемещению людей в безопасную зону при наличии угрозы их жизни (здоровью) в результате воздействия опасных факторов пожара, страховки людей при их спасении при пожаре и при выполнении работ пожарными на высотных уровнях и их самостоятельном спуске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постоянной готовности к использованию, требуемой надежности (при статической и динамической нагрузках в пределах рабочих значений температур, при воздействии нагрева и открытого пламени), доступности, простоте и безопасности их применения людьми, не имеющими специальной подготовки, самостоятельному, так и принудительному индивидуальному или коллективному перемещению людей в безопасную зону при наличии угрозы их жизни (здоровью) в результате воздействия опасных факторов пожара или в иных чрезвычайных ситуациях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следующей классификации:</w:t>
            </w:r>
          </w:p>
          <w:p>
            <w:pPr>
              <w:spacing w:after="20"/>
              <w:ind w:left="20"/>
              <w:jc w:val="both"/>
            </w:pPr>
            <w:r>
              <w:rPr>
                <w:rFonts w:ascii="Times New Roman"/>
                <w:b w:val="false"/>
                <w:i w:val="false"/>
                <w:color w:val="000000"/>
                <w:sz w:val="20"/>
              </w:rPr>
              <w:t>
1) по направлению действия: подъемно-спускные, спускные;</w:t>
            </w:r>
          </w:p>
          <w:p>
            <w:pPr>
              <w:spacing w:after="20"/>
              <w:ind w:left="20"/>
              <w:jc w:val="both"/>
            </w:pPr>
            <w:r>
              <w:rPr>
                <w:rFonts w:ascii="Times New Roman"/>
                <w:b w:val="false"/>
                <w:i w:val="false"/>
                <w:color w:val="000000"/>
                <w:sz w:val="20"/>
              </w:rPr>
              <w:t>
2) по способу установки и базирования: стационарные, мобильные, переносные;</w:t>
            </w:r>
          </w:p>
          <w:p>
            <w:pPr>
              <w:spacing w:after="20"/>
              <w:ind w:left="20"/>
              <w:jc w:val="both"/>
            </w:pPr>
            <w:r>
              <w:rPr>
                <w:rFonts w:ascii="Times New Roman"/>
                <w:b w:val="false"/>
                <w:i w:val="false"/>
                <w:color w:val="000000"/>
                <w:sz w:val="20"/>
              </w:rPr>
              <w:t>
3) по взаимосвязи с этапами строительства и эксплуатации: предусмотренные архитектурно-планировочными решениями, изначально предусмотренные архитектурно-планировочными решениями;</w:t>
            </w:r>
          </w:p>
          <w:p>
            <w:pPr>
              <w:spacing w:after="20"/>
              <w:ind w:left="20"/>
              <w:jc w:val="both"/>
            </w:pPr>
            <w:r>
              <w:rPr>
                <w:rFonts w:ascii="Times New Roman"/>
                <w:b w:val="false"/>
                <w:i w:val="false"/>
                <w:color w:val="000000"/>
                <w:sz w:val="20"/>
              </w:rPr>
              <w:t>
4) по конструктивному исполнению: устройства канатно-спускные пожарные, рукава спасательные пожарные, устройства спасательные прыжковые пожарные, трапы спасательные пожарные, лестницы ручные пожарные, лестницы навесные спасательные пожарные, веревки пожарные спасательные, пояса пожарные спасательные, карабины пожарные, агрегатно-комбинированные (в том числе устройства спасательные лифтовые);</w:t>
            </w:r>
          </w:p>
          <w:p>
            <w:pPr>
              <w:spacing w:after="20"/>
              <w:ind w:left="20"/>
              <w:jc w:val="both"/>
            </w:pPr>
            <w:r>
              <w:rPr>
                <w:rFonts w:ascii="Times New Roman"/>
                <w:b w:val="false"/>
                <w:i w:val="false"/>
                <w:color w:val="000000"/>
                <w:sz w:val="20"/>
              </w:rPr>
              <w:t>
5) по производительности: индивидуальные (в том числе одноразовые), групповые (коллективные);</w:t>
            </w:r>
          </w:p>
          <w:p>
            <w:pPr>
              <w:spacing w:after="20"/>
              <w:ind w:left="20"/>
              <w:jc w:val="both"/>
            </w:pPr>
            <w:r>
              <w:rPr>
                <w:rFonts w:ascii="Times New Roman"/>
                <w:b w:val="false"/>
                <w:i w:val="false"/>
                <w:color w:val="000000"/>
                <w:sz w:val="20"/>
              </w:rPr>
              <w:t>
6) по способу управления: с ручным регулированием скорости спуска, с автоматическим регулированием скорости спуска;</w:t>
            </w:r>
          </w:p>
          <w:p>
            <w:pPr>
              <w:spacing w:after="20"/>
              <w:ind w:left="20"/>
              <w:jc w:val="both"/>
            </w:pPr>
            <w:r>
              <w:rPr>
                <w:rFonts w:ascii="Times New Roman"/>
                <w:b w:val="false"/>
                <w:i w:val="false"/>
                <w:color w:val="000000"/>
                <w:sz w:val="20"/>
              </w:rPr>
              <w:t>
по высоте спуска: с ограничением высоты спуска, без ограничения высоты спуска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в зависимости от его функционального назначения, выполняющего:</w:t>
            </w:r>
          </w:p>
          <w:p>
            <w:pPr>
              <w:spacing w:after="20"/>
              <w:ind w:left="20"/>
              <w:jc w:val="both"/>
            </w:pPr>
            <w:r>
              <w:rPr>
                <w:rFonts w:ascii="Times New Roman"/>
                <w:b w:val="false"/>
                <w:i w:val="false"/>
                <w:color w:val="000000"/>
                <w:sz w:val="20"/>
              </w:rPr>
              <w:t>
1) резку и перекусывание (в том числе металлического профиля и элементов строительных конструкций);</w:t>
            </w:r>
          </w:p>
          <w:p>
            <w:pPr>
              <w:spacing w:after="20"/>
              <w:ind w:left="20"/>
              <w:jc w:val="both"/>
            </w:pPr>
            <w:r>
              <w:rPr>
                <w:rFonts w:ascii="Times New Roman"/>
                <w:b w:val="false"/>
                <w:i w:val="false"/>
                <w:color w:val="000000"/>
                <w:sz w:val="20"/>
              </w:rPr>
              <w:t>
2) подъем, перемещение и фиксацию различных строительных конструкций;</w:t>
            </w:r>
          </w:p>
          <w:p>
            <w:pPr>
              <w:spacing w:after="20"/>
              <w:ind w:left="20"/>
              <w:jc w:val="both"/>
            </w:pPr>
            <w:r>
              <w:rPr>
                <w:rFonts w:ascii="Times New Roman"/>
                <w:b w:val="false"/>
                <w:i w:val="false"/>
                <w:color w:val="000000"/>
                <w:sz w:val="20"/>
              </w:rPr>
              <w:t>
3) пробивание отверстий и проемов, дробление строительных конструкций и материалов;</w:t>
            </w:r>
          </w:p>
          <w:p>
            <w:pPr>
              <w:spacing w:after="20"/>
              <w:ind w:left="20"/>
              <w:jc w:val="both"/>
            </w:pPr>
            <w:r>
              <w:rPr>
                <w:rFonts w:ascii="Times New Roman"/>
                <w:b w:val="false"/>
                <w:i w:val="false"/>
                <w:color w:val="000000"/>
                <w:sz w:val="20"/>
              </w:rPr>
              <w:t>
4) вскрытие различных металлических конструкций (в том числе дверных и оконных проемов);</w:t>
            </w:r>
          </w:p>
          <w:p>
            <w:pPr>
              <w:spacing w:after="20"/>
              <w:ind w:left="20"/>
              <w:jc w:val="both"/>
            </w:pPr>
            <w:r>
              <w:rPr>
                <w:rFonts w:ascii="Times New Roman"/>
                <w:b w:val="false"/>
                <w:i w:val="false"/>
                <w:color w:val="000000"/>
                <w:sz w:val="20"/>
              </w:rPr>
              <w:t>
7) закупорку отверстий в трубах различного диаметра, заделку пробоин в емкостях и трубопроводах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оснащению предохранительными устройствами, препятствующими случайному попаданию в подвижные механизмы инструмента частей тела человека или одежды.</w:t>
            </w:r>
          </w:p>
          <w:p>
            <w:pPr>
              <w:spacing w:after="20"/>
              <w:ind w:left="20"/>
              <w:jc w:val="both"/>
            </w:pPr>
            <w:r>
              <w:rPr>
                <w:rFonts w:ascii="Times New Roman"/>
                <w:b w:val="false"/>
                <w:i w:val="false"/>
                <w:color w:val="000000"/>
                <w:sz w:val="20"/>
              </w:rPr>
              <w:t>
5) Органы управления инструмента для проведения специальных работ на пожарах снабжены указателями, исключающими неоднозначное толкование размещенной на них информации. Конструкция стыковочных узлов инструмента для проведения специальных работ на пожарах обеспечивать быстрое и надежное их соединение вручную без применения ключей или другого слесарного инструмента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дополнительного снаряжения пожарных (фонари пожарные, тепловизоры, радиомаяки и звуковые маяки) в зависимости от его назначения освещению места пожара, поиску очагов пожара и людей в задымленной атмосфере, обозначению месторасположения пожарных, а также выполнению работ при тушении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пожарного оборудования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гидрантов пожарных возможности их установки на сетях наружного водопровода и отбор воды для целей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колонок пожарных открыванию (закрывания) подземных гидрантов и присоединения пожарных рукавов для отбора воды из водопроводных сетей и ее подачи для целей пожаротушения. Механические усилия на органах управления перекрывающих устройств колонки пожарной при рабочем давлении не превышать 150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рукавов пожарных напорных и головок соединительных пожарных транспортированию огнетушащих веществ к месту пожара. Головки соединительные пожарные обеспечивать быстрое, герметичное и прочное соединение пожарных рукавов между собой и с другим пожарным оборудованием.</w:t>
            </w:r>
          </w:p>
          <w:p>
            <w:pPr>
              <w:spacing w:after="20"/>
              <w:ind w:left="20"/>
              <w:jc w:val="both"/>
            </w:pPr>
            <w:r>
              <w:rPr>
                <w:rFonts w:ascii="Times New Roman"/>
                <w:b w:val="false"/>
                <w:i w:val="false"/>
                <w:color w:val="000000"/>
                <w:sz w:val="20"/>
              </w:rPr>
              <w:t>
Рукава пожарные напорные и головки соединительные пожарные иметь прочностные и эксплуатационные характеристики в зависимости от их назначения.</w:t>
            </w:r>
          </w:p>
          <w:p>
            <w:pPr>
              <w:spacing w:after="20"/>
              <w:ind w:left="20"/>
              <w:jc w:val="both"/>
            </w:pPr>
            <w:r>
              <w:rPr>
                <w:rFonts w:ascii="Times New Roman"/>
                <w:b w:val="false"/>
                <w:i w:val="false"/>
                <w:color w:val="000000"/>
                <w:sz w:val="20"/>
              </w:rPr>
              <w:t>
Оборудование по обслуживанию рукавов пожарных напорных обеспечивать выполнение комплекса работ по поддержанию рукавов пожарных напорных в работоспособном состоянии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стволов пожарных, генераторов пены и пеносмесителей подачи огнетушащих веществ в очаг пожара и его тушению, защите (охлаждению) строительных конструкций, технологического оборудования, зданий, сооружений или их частей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стволов пожарных (ручных и лафетных) обеспечению:</w:t>
            </w:r>
          </w:p>
          <w:p>
            <w:pPr>
              <w:spacing w:after="20"/>
              <w:ind w:left="20"/>
              <w:jc w:val="both"/>
            </w:pPr>
            <w:r>
              <w:rPr>
                <w:rFonts w:ascii="Times New Roman"/>
                <w:b w:val="false"/>
                <w:i w:val="false"/>
                <w:color w:val="000000"/>
                <w:sz w:val="20"/>
              </w:rPr>
              <w:t>
1) формирования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pPr>
              <w:spacing w:after="20"/>
              <w:ind w:left="20"/>
              <w:jc w:val="both"/>
            </w:pPr>
            <w:r>
              <w:rPr>
                <w:rFonts w:ascii="Times New Roman"/>
                <w:b w:val="false"/>
                <w:i w:val="false"/>
                <w:color w:val="000000"/>
                <w:sz w:val="20"/>
              </w:rPr>
              <w:t>
2) равномерного распределения огнетушащих веществ по конусу факела распыленной струи;</w:t>
            </w:r>
          </w:p>
          <w:p>
            <w:pPr>
              <w:spacing w:after="20"/>
              <w:ind w:left="20"/>
              <w:jc w:val="both"/>
            </w:pPr>
            <w:r>
              <w:rPr>
                <w:rFonts w:ascii="Times New Roman"/>
                <w:b w:val="false"/>
                <w:i w:val="false"/>
                <w:color w:val="000000"/>
                <w:sz w:val="20"/>
              </w:rPr>
              <w:t>
3) бесступенчатого изменения вида струи от сплошной до распыленной;</w:t>
            </w:r>
          </w:p>
          <w:p>
            <w:pPr>
              <w:spacing w:after="20"/>
              <w:ind w:left="20"/>
              <w:jc w:val="both"/>
            </w:pPr>
            <w:r>
              <w:rPr>
                <w:rFonts w:ascii="Times New Roman"/>
                <w:b w:val="false"/>
                <w:i w:val="false"/>
                <w:color w:val="000000"/>
                <w:sz w:val="20"/>
              </w:rPr>
              <w:t>
4) изменению расхода огнетушащих веществ (для стволов пожарных универсального типа) без прекращения их подачи;</w:t>
            </w:r>
          </w:p>
          <w:p>
            <w:pPr>
              <w:spacing w:after="20"/>
              <w:ind w:left="20"/>
              <w:jc w:val="both"/>
            </w:pPr>
            <w:r>
              <w:rPr>
                <w:rFonts w:ascii="Times New Roman"/>
                <w:b w:val="false"/>
                <w:i w:val="false"/>
                <w:color w:val="000000"/>
                <w:sz w:val="20"/>
              </w:rPr>
              <w:t>
5) прочности ствола, герметичность соединений и перекрывных устройств при рабочем давлении;</w:t>
            </w:r>
          </w:p>
          <w:p>
            <w:pPr>
              <w:spacing w:after="20"/>
              <w:ind w:left="20"/>
              <w:jc w:val="both"/>
            </w:pPr>
            <w:r>
              <w:rPr>
                <w:rFonts w:ascii="Times New Roman"/>
                <w:b w:val="false"/>
                <w:i w:val="false"/>
                <w:color w:val="000000"/>
                <w:sz w:val="20"/>
              </w:rPr>
              <w:t>
6) фиксации положения лафетных стволов пожарных при заданных углах в вертикальной плоскости;</w:t>
            </w:r>
          </w:p>
          <w:p>
            <w:pPr>
              <w:spacing w:after="20"/>
              <w:ind w:left="20"/>
              <w:jc w:val="both"/>
            </w:pPr>
            <w:r>
              <w:rPr>
                <w:rFonts w:ascii="Times New Roman"/>
                <w:b w:val="false"/>
                <w:i w:val="false"/>
                <w:color w:val="000000"/>
                <w:sz w:val="20"/>
              </w:rPr>
              <w:t>
возможности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генераторов пены требованиям по формированию потока воздушно-механической пены низкой, средней, высокой кратности или их комбинации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пеносмесителей (с нерегулируемым и регулируемым дозированием) получению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водосборников рукавных объединению двух и более потоков воды перед входом во всасывающий патрубок пожарного насоса. Водосборники рукавные оборудованы обратными клапанами на каждом из объединяемых патрубков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разветвлений рукавных распределению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разветвлений рукавных при рабочем давлении не должно превышать 150 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гидроэлеваторов пожарных требованиям по забору воды из открытых водоемов с разницей уровней зеркала воды и расположения пожарного насоса, превышающей максимальную высоту всасывания, а также удалению из помещений воды, пролитой при тушении пожара и при проведении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сеток всасывающих пожарных требованиям к фильтрации забираемой из открытых водоемов воды и предотвращению попадания твердых частиц, способных привести к нарушению работы насосов. Сетки всасывающие пожарные оборудованы обратными клапанами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лестниц ручных пожарных личного состава пожарных подразделений возможности проникновения в помещения и на крыши зданий и сооружений, подачи в указанные помещения огнетушащих веществ, а также спасения людей из таких помещений. Габаритные размеры и конструкция лестниц ручных пожарных обеспечивать возможность их транспортирования на пожарных автомобилях. Механическая прочность, размеры и эргономические и защитные показатели лестниц ручных пожарных обеспечивать возможность выполнения задач по спасению людей с высотных уровней и подъему необходимого пожарного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узлов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предотвращению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заполнений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предотвращению распространения опасных факторов пожара в течение нормируемого времени в соответствии с их классификацией по пределам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противопожарных дымогазонепроницаемых при требуемых пределах огнестойкости минимально необходимому значению сопротивления дымогазопроницанию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дымонепроницаемых требованиям по препятствию распространения дыма при пожаре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противодымной вентиляции, в зависимости от назначения выполнению одной или нескольких задач, в том числе предотвращению при пожаре задымлений помещений, лестничных клеток, лифтовых шахт, тамбур-шлюзов, зон безопасности с целью обеспечения безопасности людей и создании необходимых условий для выполнения пожарными подразделениями работ по спасению людей, обнаружении и локализации очага пожара в здании и сооружении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огнестойкости и выполнения из негорючих материалов конструкций воздуховодов, функционирующих в составе систем противодымной вентиляции.</w:t>
            </w:r>
          </w:p>
          <w:p>
            <w:pPr>
              <w:spacing w:after="20"/>
              <w:ind w:left="20"/>
              <w:jc w:val="both"/>
            </w:pPr>
            <w:r>
              <w:rPr>
                <w:rFonts w:ascii="Times New Roman"/>
                <w:b w:val="false"/>
                <w:i w:val="false"/>
                <w:color w:val="000000"/>
                <w:sz w:val="20"/>
              </w:rPr>
              <w:t>
Узлы пересечения ограждающих строительных конструкций с воздуховодами, функционирующими в составе систем противодымной вентиляции, иметь предел огнестойкости не ниже пределов, требуемых для таких воздуховодов. При этом элементы опор (подвесок) конструкций указанных воздуховодов иметь пределы огнестойкости по установленным для воздуховодов числовым значениям только по признаку потери несущей способности.</w:t>
            </w:r>
          </w:p>
          <w:p>
            <w:pPr>
              <w:spacing w:after="20"/>
              <w:ind w:left="20"/>
              <w:jc w:val="both"/>
            </w:pPr>
            <w:r>
              <w:rPr>
                <w:rFonts w:ascii="Times New Roman"/>
                <w:b w:val="false"/>
                <w:i w:val="false"/>
                <w:color w:val="000000"/>
                <w:sz w:val="20"/>
              </w:rPr>
              <w:t>
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обеспечению клапанов противопожарных нормально открытых и клапанов противопожарных нормально закрытых, функционирующих в составе систем противодымной вентиляции, автоматическим и дистанционно управляемым приводам.</w:t>
            </w:r>
          </w:p>
          <w:p>
            <w:pPr>
              <w:spacing w:after="20"/>
              <w:ind w:left="20"/>
              <w:jc w:val="both"/>
            </w:pPr>
            <w:r>
              <w:rPr>
                <w:rFonts w:ascii="Times New Roman"/>
                <w:b w:val="false"/>
                <w:i w:val="false"/>
                <w:color w:val="000000"/>
                <w:sz w:val="20"/>
              </w:rPr>
              <w:t>
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обеспечивать при требуемых пределах огнестойкости минимально необходимые значения сопротивления дымогазопроницанию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люков дымовых с естественным побуждением тяги автоматическим и дистанционным управляемым приводам (с возможностью дублирования термоэлементами), обеспечивающим тяговые усилия, необходимых для преодоления механической (в том числе снеговой и ветровой) нагрузки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вытяжных вентиляторов, функционирующих в составе систем противодымной вентиляции, работоспособности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обеспечению противодымных экранов (шторы, занавесы), функционирующих в составе систем противодымной вентиляции, автоматическим и дистанционно управляемым приводам (без термоэлементов) и выполнения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средствах обеспечения пожарной безопасности и пожаротушения и на упаковке маркировки, содержащей информацию о наименовании, типе (виде), марке, модели, назначении, основных технических параметрах и характеристиках, товарный знак и наименование изготовителя, а также о стране-изготовителе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средство обеспечения пожарной безопасности и пожаротушения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нанесении маркировки на упаковку и внесении в техническую документацию, при невозможности нанести маркировки непосредственно на средство обеспечения пожарной безопасности и пожаротушения.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 Маркировка средства обеспечения пожарной безопасности и пожаротушения разборчивой, легко читаемой и нанесена в доступном для осмотра месте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нефти, выпускаемой в обращение и находящееся в обращении на рынке Евразийского экономического союза, требованиям следующих показателей: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массовая доля сероводорода, млн (ppm);</w:t>
                  </w:r>
                </w:p>
                <w:p>
                  <w:pPr>
                    <w:spacing w:after="20"/>
                    <w:ind w:left="20"/>
                    <w:jc w:val="both"/>
                  </w:pPr>
                  <w:r>
                    <w:rPr>
                      <w:rFonts w:ascii="Times New Roman"/>
                      <w:b w:val="false"/>
                      <w:i w:val="false"/>
                      <w:color w:val="000000"/>
                      <w:sz w:val="20"/>
                    </w:rPr>
                    <w:t>
2) массовая доля метил- и этилмеркаптанов в сумме;</w:t>
                  </w:r>
                </w:p>
                <w:p>
                  <w:pPr>
                    <w:spacing w:after="20"/>
                    <w:ind w:left="20"/>
                    <w:jc w:val="both"/>
                  </w:pPr>
                  <w:r>
                    <w:rPr>
                      <w:rFonts w:ascii="Times New Roman"/>
                      <w:b w:val="false"/>
                      <w:i w:val="false"/>
                      <w:color w:val="000000"/>
                      <w:sz w:val="20"/>
                    </w:rPr>
                    <w:t>
3) массовая доля воды, %;</w:t>
                  </w:r>
                </w:p>
                <w:p>
                  <w:pPr>
                    <w:spacing w:after="20"/>
                    <w:ind w:left="20"/>
                    <w:jc w:val="both"/>
                  </w:pPr>
                  <w:r>
                    <w:rPr>
                      <w:rFonts w:ascii="Times New Roman"/>
                      <w:b w:val="false"/>
                      <w:i w:val="false"/>
                      <w:color w:val="000000"/>
                      <w:sz w:val="20"/>
                    </w:rPr>
                    <w:t>
4) массовая концентрация хлористых солей, мг/дм;</w:t>
                  </w:r>
                </w:p>
                <w:p>
                  <w:pPr>
                    <w:spacing w:after="20"/>
                    <w:ind w:left="20"/>
                    <w:jc w:val="both"/>
                  </w:pPr>
                  <w:r>
                    <w:rPr>
                      <w:rFonts w:ascii="Times New Roman"/>
                      <w:b w:val="false"/>
                      <w:i w:val="false"/>
                      <w:color w:val="000000"/>
                      <w:sz w:val="20"/>
                    </w:rPr>
                    <w:t>
5) давление насыщенных паров, кПа;</w:t>
                  </w:r>
                </w:p>
                <w:p>
                  <w:pPr>
                    <w:spacing w:after="20"/>
                    <w:ind w:left="20"/>
                    <w:jc w:val="both"/>
                  </w:pPr>
                  <w:r>
                    <w:rPr>
                      <w:rFonts w:ascii="Times New Roman"/>
                      <w:b w:val="false"/>
                      <w:i w:val="false"/>
                      <w:color w:val="000000"/>
                      <w:sz w:val="20"/>
                    </w:rPr>
                    <w:t>
6) массовая доля органических хлоридов во фракции, выкипающей до температуры 204°С, млн (ppm)</w:t>
                  </w: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недопущению применения химических реагентов, содержащих хлорорганические соединения при изготовлении (производстве) и транспортировке нефти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нефти, выпускаемую в обращение и находящейся в обращении на рынке Евразийского экономического союза, паспорта, который содержит следующие сведения:</w:t>
            </w:r>
          </w:p>
          <w:p>
            <w:pPr>
              <w:spacing w:after="20"/>
              <w:ind w:left="20"/>
              <w:jc w:val="both"/>
            </w:pPr>
            <w:r>
              <w:rPr>
                <w:rFonts w:ascii="Times New Roman"/>
                <w:b w:val="false"/>
                <w:i w:val="false"/>
                <w:color w:val="000000"/>
                <w:sz w:val="20"/>
              </w:rPr>
              <w:t>
1) наименование, место нахождения (адрес) юридического лица (фамилия, имя и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оформившим паспорт;</w:t>
            </w:r>
          </w:p>
          <w:p>
            <w:pPr>
              <w:spacing w:after="20"/>
              <w:ind w:left="20"/>
              <w:jc w:val="both"/>
            </w:pPr>
            <w:r>
              <w:rPr>
                <w:rFonts w:ascii="Times New Roman"/>
                <w:b w:val="false"/>
                <w:i w:val="false"/>
                <w:color w:val="000000"/>
                <w:sz w:val="20"/>
              </w:rPr>
              <w:t>
2) товарный знак изготовителя (производителя) нефти (при наличии);</w:t>
            </w:r>
          </w:p>
          <w:p>
            <w:pPr>
              <w:spacing w:after="20"/>
              <w:ind w:left="20"/>
              <w:jc w:val="both"/>
            </w:pPr>
            <w:r>
              <w:rPr>
                <w:rFonts w:ascii="Times New Roman"/>
                <w:b w:val="false"/>
                <w:i w:val="false"/>
                <w:color w:val="000000"/>
                <w:sz w:val="20"/>
              </w:rPr>
              <w:t>
3) обозначение и наименование документа, в соответствии с которым изготовлена (произведена) нефть (при наличии), и ее наименование и обозначение в соответствии с этим документом;</w:t>
            </w:r>
          </w:p>
          <w:p>
            <w:pPr>
              <w:spacing w:after="20"/>
              <w:ind w:left="20"/>
              <w:jc w:val="both"/>
            </w:pPr>
            <w:r>
              <w:rPr>
                <w:rFonts w:ascii="Times New Roman"/>
                <w:b w:val="false"/>
                <w:i w:val="false"/>
                <w:color w:val="000000"/>
                <w:sz w:val="20"/>
              </w:rPr>
              <w:t>
4) нормативные значения показателей нефти, установленные в требованиях к показателям нефти и в документе, в соответствии с которым изготовлена (произведена) нефть, а также фактические результаты лабораторных испытаний с указанием наименования собственной испытательной лаборатории и аккредитованной испытательной лаборатории;</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единый знак обращения продукции на рынке Евразийского экономического союза;</w:t>
            </w:r>
          </w:p>
          <w:p>
            <w:pPr>
              <w:spacing w:after="20"/>
              <w:ind w:left="20"/>
              <w:jc w:val="both"/>
            </w:pPr>
            <w:r>
              <w:rPr>
                <w:rFonts w:ascii="Times New Roman"/>
                <w:b w:val="false"/>
                <w:i w:val="false"/>
                <w:color w:val="000000"/>
                <w:sz w:val="20"/>
              </w:rPr>
              <w:t>
7) номер и дата выдачи паспорта;</w:t>
            </w:r>
          </w:p>
          <w:p>
            <w:pPr>
              <w:spacing w:after="20"/>
              <w:ind w:left="20"/>
              <w:jc w:val="both"/>
            </w:pPr>
            <w:r>
              <w:rPr>
                <w:rFonts w:ascii="Times New Roman"/>
                <w:b w:val="false"/>
                <w:i w:val="false"/>
                <w:color w:val="000000"/>
                <w:sz w:val="20"/>
              </w:rPr>
              <w:t>
8) фамилия, инициалы и подпись лица, оформившего паспорт.</w:t>
            </w:r>
          </w:p>
          <w:p>
            <w:pPr>
              <w:spacing w:after="20"/>
              <w:ind w:left="20"/>
              <w:jc w:val="both"/>
            </w:pPr>
            <w:r>
              <w:rPr>
                <w:rFonts w:ascii="Times New Roman"/>
                <w:b w:val="false"/>
                <w:i w:val="false"/>
                <w:color w:val="000000"/>
                <w:sz w:val="20"/>
              </w:rPr>
              <w:t>
Паспорт оформляется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государства - члена Евразийского экономического союза, на территории которого осуществляется реализация нефти.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подготовленного к транспортированию,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промышленного и коммунально-бытового назначения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компримированного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сжиженного требованиям по показателям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качества продукции газа горючего природного к каждой партии продукции, выпускаемой в обращение и находящейся в обращении, содержащим следующую информацию:</w:t>
            </w:r>
          </w:p>
          <w:p>
            <w:pPr>
              <w:spacing w:after="20"/>
              <w:ind w:left="20"/>
              <w:jc w:val="both"/>
            </w:pPr>
            <w:r>
              <w:rPr>
                <w:rFonts w:ascii="Times New Roman"/>
                <w:b w:val="false"/>
                <w:i w:val="false"/>
                <w:color w:val="000000"/>
                <w:sz w:val="20"/>
              </w:rPr>
              <w:t>
1) наименование, марка (при наличии) и условное обозначение продукции (при наличии);</w:t>
            </w:r>
          </w:p>
          <w:p>
            <w:pPr>
              <w:spacing w:after="20"/>
              <w:ind w:left="20"/>
              <w:jc w:val="both"/>
            </w:pPr>
            <w:r>
              <w:rPr>
                <w:rFonts w:ascii="Times New Roman"/>
                <w:b w:val="false"/>
                <w:i w:val="false"/>
                <w:color w:val="000000"/>
                <w:sz w:val="20"/>
              </w:rPr>
              <w:t>
2) наименование организации, оформляющей паспорт и осуществляющей либо производство, либо транспортирование, либо хранение, либо продажу продукции,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3) товарный знак изготовителя (при наличии) (проставляется в паспорте);</w:t>
            </w:r>
          </w:p>
          <w:p>
            <w:pPr>
              <w:spacing w:after="20"/>
              <w:ind w:left="20"/>
              <w:jc w:val="both"/>
            </w:pPr>
            <w:r>
              <w:rPr>
                <w:rFonts w:ascii="Times New Roman"/>
                <w:b w:val="false"/>
                <w:i w:val="false"/>
                <w:color w:val="000000"/>
                <w:sz w:val="20"/>
              </w:rPr>
              <w:t>
4) наименование уполномоченного изготовителем лица, его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5) обозначение и наименование документа, в соответствии с которым произведена продукция;</w:t>
            </w:r>
          </w:p>
          <w:p>
            <w:pPr>
              <w:spacing w:after="20"/>
              <w:ind w:left="20"/>
              <w:jc w:val="both"/>
            </w:pPr>
            <w:r>
              <w:rPr>
                <w:rFonts w:ascii="Times New Roman"/>
                <w:b w:val="false"/>
                <w:i w:val="false"/>
                <w:color w:val="000000"/>
                <w:sz w:val="20"/>
              </w:rPr>
              <w:t>
6) нормативные значения и фактические результаты испытаний, подтверждающие соответствие продукции;</w:t>
            </w:r>
          </w:p>
          <w:p>
            <w:pPr>
              <w:spacing w:after="20"/>
              <w:ind w:left="20"/>
              <w:jc w:val="both"/>
            </w:pPr>
            <w:r>
              <w:rPr>
                <w:rFonts w:ascii="Times New Roman"/>
                <w:b w:val="false"/>
                <w:i w:val="false"/>
                <w:color w:val="000000"/>
                <w:sz w:val="20"/>
              </w:rPr>
              <w:t>
7) номер партии (при наличии), период (дата) поставки;</w:t>
            </w:r>
          </w:p>
          <w:p>
            <w:pPr>
              <w:spacing w:after="20"/>
              <w:ind w:left="20"/>
              <w:jc w:val="both"/>
            </w:pPr>
            <w:r>
              <w:rPr>
                <w:rFonts w:ascii="Times New Roman"/>
                <w:b w:val="false"/>
                <w:i w:val="false"/>
                <w:color w:val="000000"/>
                <w:sz w:val="20"/>
              </w:rPr>
              <w:t>
8) единый знак обращения продукции на рынке Евразийского экономического союза (проставляется в паспорте);</w:t>
            </w:r>
          </w:p>
          <w:p>
            <w:pPr>
              <w:spacing w:after="20"/>
              <w:ind w:left="20"/>
              <w:jc w:val="both"/>
            </w:pPr>
            <w:r>
              <w:rPr>
                <w:rFonts w:ascii="Times New Roman"/>
                <w:b w:val="false"/>
                <w:i w:val="false"/>
                <w:color w:val="000000"/>
                <w:sz w:val="20"/>
              </w:rPr>
              <w:t>
9) номер и дата выдачи паспорта;</w:t>
            </w:r>
          </w:p>
          <w:p>
            <w:pPr>
              <w:spacing w:after="20"/>
              <w:ind w:left="20"/>
              <w:jc w:val="both"/>
            </w:pPr>
            <w:r>
              <w:rPr>
                <w:rFonts w:ascii="Times New Roman"/>
                <w:b w:val="false"/>
                <w:i w:val="false"/>
                <w:color w:val="000000"/>
                <w:sz w:val="20"/>
              </w:rPr>
              <w:t>
10) подпись и расшифровка подписи лица, оформившего паспорт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сопроводительной документации на партию продукции газа горючего природного, выпускаемой в обращение, на русском языке и при наличии соответствующих требований в законодательстве государств - членов Евразийского экономического союза на государственном языке государства-члена, на территории которого данная партия будет находиться в обращении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энергопотребляющих устройств, требованиям к энергетической эффективности при его применении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энергопотребляющих устройствах маркировки, с указанием наименования и обозначения устройства (тип, марка, модель), его основные параметры, наименования и товарного знака (при наличии) изготовителя, наименования страны, на территории которой изготовлено устройство. Указанные сведения наносятся на устройство и указываются в прилагаемых к нему эксплуатационных документах.</w:t>
            </w:r>
          </w:p>
          <w:p>
            <w:pPr>
              <w:spacing w:after="20"/>
              <w:ind w:left="20"/>
              <w:jc w:val="both"/>
            </w:pPr>
            <w:r>
              <w:rPr>
                <w:rFonts w:ascii="Times New Roman"/>
                <w:b w:val="false"/>
                <w:i w:val="false"/>
                <w:color w:val="000000"/>
                <w:sz w:val="20"/>
              </w:rPr>
              <w:t xml:space="preserve">
Наименование, товарный знак (при наличии) изготовителя, наименование и обозначение устройства (тип, марка, модель) наносятся на упаковку устройства. </w:t>
            </w:r>
          </w:p>
          <w:p>
            <w:pPr>
              <w:spacing w:after="20"/>
              <w:ind w:left="20"/>
              <w:jc w:val="both"/>
            </w:pPr>
            <w:r>
              <w:rPr>
                <w:rFonts w:ascii="Times New Roman"/>
                <w:b w:val="false"/>
                <w:i w:val="false"/>
                <w:color w:val="000000"/>
                <w:sz w:val="20"/>
              </w:rPr>
              <w:t>
Если эти сведения невозможно нанести на устройство, они указываются только в прилагаемых к этому устройству эксплуатационных документах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энергопотребляющем устройстве разборчивой, легко читаемой и нанесенной на устройство в месте, доступном для осмотра без разборки с применением инструмента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содержащих следующее:</w:t>
            </w:r>
          </w:p>
          <w:p>
            <w:pPr>
              <w:spacing w:after="20"/>
              <w:ind w:left="20"/>
              <w:jc w:val="both"/>
            </w:pPr>
            <w:r>
              <w:rPr>
                <w:rFonts w:ascii="Times New Roman"/>
                <w:b w:val="false"/>
                <w:i w:val="false"/>
                <w:color w:val="000000"/>
                <w:sz w:val="20"/>
              </w:rPr>
              <w:t>
1) маркировку с соответствующей информацией;</w:t>
            </w:r>
          </w:p>
          <w:p>
            <w:pPr>
              <w:spacing w:after="20"/>
              <w:ind w:left="20"/>
              <w:jc w:val="both"/>
            </w:pPr>
            <w:r>
              <w:rPr>
                <w:rFonts w:ascii="Times New Roman"/>
                <w:b w:val="false"/>
                <w:i w:val="false"/>
                <w:color w:val="000000"/>
                <w:sz w:val="20"/>
              </w:rPr>
              <w:t>
2) информацию о назначении устройства;</w:t>
            </w:r>
          </w:p>
          <w:p>
            <w:pPr>
              <w:spacing w:after="20"/>
              <w:ind w:left="20"/>
              <w:jc w:val="both"/>
            </w:pPr>
            <w:r>
              <w:rPr>
                <w:rFonts w:ascii="Times New Roman"/>
                <w:b w:val="false"/>
                <w:i w:val="false"/>
                <w:color w:val="000000"/>
                <w:sz w:val="20"/>
              </w:rPr>
              <w:t>
3) правила и условия монтажа устройства, его подключения к сети и другим необходимым для применения устройства по назначению источникам топливно-энергетических ресурсов, пуска, регулирования и введения в эксплуатацию (соблюдение указанных правил и условий является необходимым для обеспечения соответствия устройства);</w:t>
            </w:r>
          </w:p>
          <w:p>
            <w:pPr>
              <w:spacing w:after="20"/>
              <w:ind w:left="20"/>
              <w:jc w:val="both"/>
            </w:pPr>
            <w:r>
              <w:rPr>
                <w:rFonts w:ascii="Times New Roman"/>
                <w:b w:val="false"/>
                <w:i w:val="false"/>
                <w:color w:val="000000"/>
                <w:sz w:val="20"/>
              </w:rPr>
              <w:t>
4) характеристики и параметры;</w:t>
            </w:r>
          </w:p>
          <w:p>
            <w:pPr>
              <w:spacing w:after="20"/>
              <w:ind w:left="20"/>
              <w:jc w:val="both"/>
            </w:pPr>
            <w:r>
              <w:rPr>
                <w:rFonts w:ascii="Times New Roman"/>
                <w:b w:val="false"/>
                <w:i w:val="false"/>
                <w:color w:val="000000"/>
                <w:sz w:val="20"/>
              </w:rPr>
              <w:t>
5) наименования и места нахождения изготовителя (уполномоченного изготовителем лица), импортера, информацию для связи с ними;</w:t>
            </w:r>
          </w:p>
          <w:p>
            <w:pPr>
              <w:spacing w:after="20"/>
              <w:ind w:left="20"/>
              <w:jc w:val="both"/>
            </w:pPr>
            <w:r>
              <w:rPr>
                <w:rFonts w:ascii="Times New Roman"/>
                <w:b w:val="false"/>
                <w:i w:val="false"/>
                <w:color w:val="000000"/>
                <w:sz w:val="20"/>
              </w:rPr>
              <w:t>
6) месяц и год изготовления устройства и информацию о месте нанесения или способе определения этих сведений;</w:t>
            </w:r>
          </w:p>
          <w:p>
            <w:pPr>
              <w:spacing w:after="20"/>
              <w:ind w:left="20"/>
              <w:jc w:val="both"/>
            </w:pPr>
            <w:r>
              <w:rPr>
                <w:rFonts w:ascii="Times New Roman"/>
                <w:b w:val="false"/>
                <w:i w:val="false"/>
                <w:color w:val="000000"/>
                <w:sz w:val="20"/>
              </w:rPr>
              <w:t>
7) этикетку и технический лист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энергопотребляющих устройств классу энергетической эффективности устройства и его энергетической эффективности. </w:t>
            </w:r>
          </w:p>
          <w:p>
            <w:pPr>
              <w:spacing w:after="20"/>
              <w:ind w:left="20"/>
              <w:jc w:val="both"/>
            </w:pPr>
            <w:r>
              <w:rPr>
                <w:rFonts w:ascii="Times New Roman"/>
                <w:b w:val="false"/>
                <w:i w:val="false"/>
                <w:color w:val="000000"/>
                <w:sz w:val="20"/>
              </w:rPr>
              <w:t>
Информация о классе энергетической эффективности и об энергетической эффективности устройства размещается изготовителем (уполномоченным изготовителем лицом), импортером на этикетке, предназначенной для маркировки демонстрационных образцов устройств, поступающих в продажу.</w:t>
            </w:r>
          </w:p>
          <w:p>
            <w:pPr>
              <w:spacing w:after="20"/>
              <w:ind w:left="20"/>
              <w:jc w:val="both"/>
            </w:pPr>
            <w:r>
              <w:rPr>
                <w:rFonts w:ascii="Times New Roman"/>
                <w:b w:val="false"/>
                <w:i w:val="false"/>
                <w:color w:val="000000"/>
                <w:sz w:val="20"/>
              </w:rPr>
              <w:t>
Изготовитель (уполномоченное изготовителем лицо), импортер обеспечивают наличие этикетки, в том числе для маркировки демонстрационных образцов устройств, поступающих в продажу, и эксплуатационных документов в соответствии с требованиями.</w:t>
            </w:r>
          </w:p>
          <w:p>
            <w:pPr>
              <w:spacing w:after="20"/>
              <w:ind w:left="20"/>
              <w:jc w:val="both"/>
            </w:pPr>
            <w:r>
              <w:rPr>
                <w:rFonts w:ascii="Times New Roman"/>
                <w:b w:val="false"/>
                <w:i w:val="false"/>
                <w:color w:val="000000"/>
                <w:sz w:val="20"/>
              </w:rPr>
              <w:t>
Продавец наносит этикетку на образец устройства в месте продаж. Этикетки располагаться на видном месте, быть легко читаемыми.</w:t>
            </w:r>
          </w:p>
          <w:p>
            <w:pPr>
              <w:spacing w:after="20"/>
              <w:ind w:left="20"/>
              <w:jc w:val="both"/>
            </w:pPr>
            <w:r>
              <w:rPr>
                <w:rFonts w:ascii="Times New Roman"/>
                <w:b w:val="false"/>
                <w:i w:val="false"/>
                <w:color w:val="000000"/>
                <w:sz w:val="20"/>
              </w:rPr>
              <w:t>
При продаже устройства дистанционным способом продавцом до заключения договора купли-продажи предоставляется потребителю информация о показателях энергетической эффективности.</w:t>
            </w:r>
          </w:p>
          <w:p>
            <w:pPr>
              <w:spacing w:after="20"/>
              <w:ind w:left="20"/>
              <w:jc w:val="both"/>
            </w:pPr>
            <w:r>
              <w:rPr>
                <w:rFonts w:ascii="Times New Roman"/>
                <w:b w:val="false"/>
                <w:i w:val="false"/>
                <w:color w:val="000000"/>
                <w:sz w:val="20"/>
              </w:rPr>
              <w:t>
Технический лист и этикетка включать в себя следующие сведения:</w:t>
            </w:r>
          </w:p>
          <w:p>
            <w:pPr>
              <w:spacing w:after="20"/>
              <w:ind w:left="20"/>
              <w:jc w:val="both"/>
            </w:pPr>
            <w:r>
              <w:rPr>
                <w:rFonts w:ascii="Times New Roman"/>
                <w:b w:val="false"/>
                <w:i w:val="false"/>
                <w:color w:val="000000"/>
                <w:sz w:val="20"/>
              </w:rPr>
              <w:t>
наименование и товарный знак (при наличии) изготовителя, обозначение модели;</w:t>
            </w:r>
          </w:p>
          <w:p>
            <w:pPr>
              <w:spacing w:after="20"/>
              <w:ind w:left="20"/>
              <w:jc w:val="both"/>
            </w:pPr>
            <w:r>
              <w:rPr>
                <w:rFonts w:ascii="Times New Roman"/>
                <w:b w:val="false"/>
                <w:i w:val="false"/>
                <w:color w:val="000000"/>
                <w:sz w:val="20"/>
              </w:rPr>
              <w:t>
информация о классе энергетической эффективности устройства;</w:t>
            </w:r>
          </w:p>
          <w:p>
            <w:pPr>
              <w:spacing w:after="20"/>
              <w:ind w:left="20"/>
              <w:jc w:val="both"/>
            </w:pPr>
            <w:r>
              <w:rPr>
                <w:rFonts w:ascii="Times New Roman"/>
                <w:b w:val="false"/>
                <w:i w:val="false"/>
                <w:color w:val="000000"/>
                <w:sz w:val="20"/>
              </w:rPr>
              <w:t>
показатели энергетической эффективности и их номинальные значения;</w:t>
            </w:r>
          </w:p>
          <w:p>
            <w:pPr>
              <w:spacing w:after="20"/>
              <w:ind w:left="20"/>
              <w:jc w:val="both"/>
            </w:pPr>
            <w:r>
              <w:rPr>
                <w:rFonts w:ascii="Times New Roman"/>
                <w:b w:val="false"/>
                <w:i w:val="false"/>
                <w:color w:val="000000"/>
                <w:sz w:val="20"/>
              </w:rPr>
              <w:t>
Наличие технического листа и этикетки является обязательным условием обращения устройства на территории Евразийского экономического союза. Технический лист и этикетка оформляются изготовителем (уполномоченным изготовителем лицом) либо импортером.</w:t>
            </w:r>
          </w:p>
          <w:p>
            <w:pPr>
              <w:spacing w:after="20"/>
              <w:ind w:left="20"/>
              <w:jc w:val="both"/>
            </w:pPr>
            <w:r>
              <w:rPr>
                <w:rFonts w:ascii="Times New Roman"/>
                <w:b w:val="false"/>
                <w:i w:val="false"/>
                <w:color w:val="000000"/>
                <w:sz w:val="20"/>
              </w:rPr>
              <w:t xml:space="preserve">
Технический лист заполняется на русском языке, при наличии соответствующего требования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устройство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эксплуатационных документов энергопотребляющих устройств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p>
            <w:pPr>
              <w:spacing w:after="20"/>
              <w:ind w:left="20"/>
              <w:jc w:val="both"/>
            </w:pPr>
            <w:r>
              <w:rPr>
                <w:rFonts w:ascii="Times New Roman"/>
                <w:b w:val="false"/>
                <w:i w:val="false"/>
                <w:color w:val="000000"/>
                <w:sz w:val="20"/>
              </w:rPr>
              <w:t>
Эксплуатационные документы составляются в виде документов на бумажных носителях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эксплуатационной документации при вводе в эксплуатацию магистрального трубопровода (объекта магистрального трубопровода).</w:t>
            </w:r>
          </w:p>
          <w:p>
            <w:pPr>
              <w:spacing w:after="20"/>
              <w:ind w:left="20"/>
              <w:jc w:val="both"/>
            </w:pPr>
            <w:r>
              <w:rPr>
                <w:rFonts w:ascii="Times New Roman"/>
                <w:b w:val="false"/>
                <w:i w:val="false"/>
                <w:color w:val="000000"/>
                <w:sz w:val="20"/>
              </w:rPr>
              <w:t>
Эксплуатационная документация формируется эксплуатирующей организацией на основании проектной документации и документации, включаемой в комплект поставки технических устройств, машин и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безопасности магистрального трубопровода посредством обеспечения следующих мер:</w:t>
            </w:r>
          </w:p>
          <w:p>
            <w:pPr>
              <w:spacing w:after="20"/>
              <w:ind w:left="20"/>
              <w:jc w:val="both"/>
            </w:pPr>
            <w:r>
              <w:rPr>
                <w:rFonts w:ascii="Times New Roman"/>
                <w:b w:val="false"/>
                <w:i w:val="false"/>
                <w:color w:val="000000"/>
                <w:sz w:val="20"/>
              </w:rPr>
              <w:t>
1) осуществления комплекса научно-исследовательских, технологических, опытно-конструкторских и проектно-изыскательских работ и внедрения их результатов, направленных на повышение безопасности, эксплуатационной и энергетической эффективности объектов магистрального трубопровода, а также применяемых технологий, технических устройств, машин, оборудования и материалов;</w:t>
            </w:r>
          </w:p>
          <w:p>
            <w:pPr>
              <w:spacing w:after="20"/>
              <w:ind w:left="20"/>
              <w:jc w:val="both"/>
            </w:pPr>
            <w:r>
              <w:rPr>
                <w:rFonts w:ascii="Times New Roman"/>
                <w:b w:val="false"/>
                <w:i w:val="false"/>
                <w:color w:val="000000"/>
                <w:sz w:val="20"/>
              </w:rPr>
              <w:t>
2) соблюдения технологических режимов эксплуатации магистрального трубопровода, проведения технического обслуживания, технического диагностирования и поддержания установленных эксплуатационных параметров;</w:t>
            </w:r>
          </w:p>
          <w:p>
            <w:pPr>
              <w:spacing w:after="20"/>
              <w:ind w:left="20"/>
              <w:jc w:val="both"/>
            </w:pPr>
            <w:r>
              <w:rPr>
                <w:rFonts w:ascii="Times New Roman"/>
                <w:b w:val="false"/>
                <w:i w:val="false"/>
                <w:color w:val="000000"/>
                <w:sz w:val="20"/>
              </w:rPr>
              <w:t>
3) выполнения расчетов по определению значений эксплуатационных параметров объектов магистрального трубопровода, обеспечивающих их безопасность, энергетическую эффективность и ресурсосбережение, использования их результатов;</w:t>
            </w:r>
          </w:p>
          <w:p>
            <w:pPr>
              <w:spacing w:after="20"/>
              <w:ind w:left="20"/>
              <w:jc w:val="both"/>
            </w:pPr>
            <w:r>
              <w:rPr>
                <w:rFonts w:ascii="Times New Roman"/>
                <w:b w:val="false"/>
                <w:i w:val="false"/>
                <w:color w:val="000000"/>
                <w:sz w:val="20"/>
              </w:rPr>
              <w:t>
4) проведения оценки соответствия магистрального трубопровода;</w:t>
            </w:r>
          </w:p>
          <w:p>
            <w:pPr>
              <w:spacing w:after="20"/>
              <w:ind w:left="20"/>
              <w:jc w:val="both"/>
            </w:pPr>
            <w:r>
              <w:rPr>
                <w:rFonts w:ascii="Times New Roman"/>
                <w:b w:val="false"/>
                <w:i w:val="false"/>
                <w:color w:val="000000"/>
                <w:sz w:val="20"/>
              </w:rPr>
              <w:t>
5) установления охранных зон в соответствии с характеристиками границ;</w:t>
            </w:r>
          </w:p>
          <w:p>
            <w:pPr>
              <w:spacing w:after="20"/>
              <w:ind w:left="20"/>
              <w:jc w:val="both"/>
            </w:pPr>
            <w:r>
              <w:rPr>
                <w:rFonts w:ascii="Times New Roman"/>
                <w:b w:val="false"/>
                <w:i w:val="false"/>
                <w:color w:val="000000"/>
                <w:sz w:val="20"/>
              </w:rPr>
              <w:t>
6) обеспечения надежности систем управления технологическими процессами и производственной деятельностью объектов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от коррозионного воздействия объектов магистрального трубопровода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контроля технического состояния трубопровода проектной документацией предусмотрены инженерно-технические решения по очистке внутренней полости и внутритрубному диагностированию трубопровода.</w:t>
            </w:r>
          </w:p>
          <w:p>
            <w:pPr>
              <w:spacing w:after="20"/>
              <w:ind w:left="20"/>
              <w:jc w:val="both"/>
            </w:pPr>
            <w:r>
              <w:rPr>
                <w:rFonts w:ascii="Times New Roman"/>
                <w:b w:val="false"/>
                <w:i w:val="false"/>
                <w:color w:val="000000"/>
                <w:sz w:val="20"/>
              </w:rPr>
              <w:t>
Конструкция трубопровода обеспечивать беспрепятственное прохождение внутритрубных очистных, диагностических, а также разделительных устройств, применяемых для обеспечения последовательной перекачки жидких углеводородов, и оснащена узлами запуска (пуска) и приема таких устройств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после завершения строительства (реконструкции) трубопровода для транспортирования жидких углеводородов номинальным диаметром DN 150 и более и газообразных углеводородов номинальным диаметром DN 300 и более, а также для восстановления несущей способности участка такого трубопровода с заменой труб в соответствии с проектной документацией проводится:</w:t>
            </w:r>
          </w:p>
          <w:p>
            <w:pPr>
              <w:spacing w:after="20"/>
              <w:ind w:left="20"/>
              <w:jc w:val="both"/>
            </w:pPr>
            <w:r>
              <w:rPr>
                <w:rFonts w:ascii="Times New Roman"/>
                <w:b w:val="false"/>
                <w:i w:val="false"/>
                <w:color w:val="000000"/>
                <w:sz w:val="20"/>
              </w:rPr>
              <w:t>
1) контроль геометрических параметров участков трубопровода протяженностью 1 000 м и более путем пропуска внутритрубного инспекционного прибора;</w:t>
            </w:r>
          </w:p>
          <w:p>
            <w:pPr>
              <w:spacing w:after="20"/>
              <w:ind w:left="20"/>
              <w:jc w:val="both"/>
            </w:pPr>
            <w:r>
              <w:rPr>
                <w:rFonts w:ascii="Times New Roman"/>
                <w:b w:val="false"/>
                <w:i w:val="false"/>
                <w:color w:val="000000"/>
                <w:sz w:val="20"/>
              </w:rPr>
              <w:t>
2) контроль геометрических параметров участков трубопровода протяженностью менее 1 000 м приборно-инструментальными методами;</w:t>
            </w:r>
          </w:p>
          <w:p>
            <w:pPr>
              <w:spacing w:after="20"/>
              <w:ind w:left="20"/>
              <w:jc w:val="both"/>
            </w:pPr>
            <w:r>
              <w:rPr>
                <w:rFonts w:ascii="Times New Roman"/>
                <w:b w:val="false"/>
                <w:i w:val="false"/>
                <w:color w:val="000000"/>
                <w:sz w:val="20"/>
              </w:rPr>
              <w:t>
3) внутритрубное диагностирование:</w:t>
            </w:r>
          </w:p>
          <w:p>
            <w:pPr>
              <w:spacing w:after="20"/>
              <w:ind w:left="20"/>
              <w:jc w:val="both"/>
            </w:pPr>
            <w:r>
              <w:rPr>
                <w:rFonts w:ascii="Times New Roman"/>
                <w:b w:val="false"/>
                <w:i w:val="false"/>
                <w:color w:val="000000"/>
                <w:sz w:val="20"/>
              </w:rPr>
              <w:t>
участков трубопровода протяженностью 10 000 м и более;</w:t>
            </w:r>
          </w:p>
          <w:p>
            <w:pPr>
              <w:spacing w:after="20"/>
              <w:ind w:left="20"/>
              <w:jc w:val="both"/>
            </w:pPr>
            <w:r>
              <w:rPr>
                <w:rFonts w:ascii="Times New Roman"/>
                <w:b w:val="false"/>
                <w:i w:val="false"/>
                <w:color w:val="000000"/>
                <w:sz w:val="20"/>
              </w:rPr>
              <w:t>
участков трубопровода протяженностью менее 10 000 м при условии обоснования необходимости его проведения в проектной документации;</w:t>
            </w:r>
          </w:p>
          <w:p>
            <w:pPr>
              <w:spacing w:after="20"/>
              <w:ind w:left="20"/>
              <w:jc w:val="both"/>
            </w:pPr>
            <w:r>
              <w:rPr>
                <w:rFonts w:ascii="Times New Roman"/>
                <w:b w:val="false"/>
                <w:i w:val="false"/>
                <w:color w:val="000000"/>
                <w:sz w:val="20"/>
              </w:rPr>
              <w:t>
4) внутритрубное диагностирование участков подводных переходов, проложенных через реку или водоем шириной в межень по зеркалу воды более 10 м и глубиной свыше 1,5 м либо шириной по зеркалу воды в межень 25 м и более независимо от глубины;</w:t>
            </w:r>
          </w:p>
          <w:p>
            <w:pPr>
              <w:spacing w:after="20"/>
              <w:ind w:left="20"/>
              <w:jc w:val="both"/>
            </w:pPr>
            <w:r>
              <w:rPr>
                <w:rFonts w:ascii="Times New Roman"/>
                <w:b w:val="false"/>
                <w:i w:val="false"/>
                <w:color w:val="000000"/>
                <w:sz w:val="20"/>
              </w:rPr>
              <w:t>
5) контроль состояния изоляционного покрытия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сопровождению выпускаемых в обращение на рынки сбыта углей и продуктов их переработки удостоверением (паспортом) качества содержащим следующую информацию:</w:t>
            </w:r>
          </w:p>
          <w:p>
            <w:pPr>
              <w:spacing w:after="20"/>
              <w:ind w:left="20"/>
              <w:jc w:val="both"/>
            </w:pPr>
            <w:r>
              <w:rPr>
                <w:rFonts w:ascii="Times New Roman"/>
                <w:b w:val="false"/>
                <w:i w:val="false"/>
                <w:color w:val="000000"/>
                <w:sz w:val="20"/>
              </w:rPr>
              <w:t>
1) наименование продукции и вид потребления;</w:t>
            </w:r>
          </w:p>
          <w:p>
            <w:pPr>
              <w:spacing w:after="20"/>
              <w:ind w:left="20"/>
              <w:jc w:val="both"/>
            </w:pPr>
            <w:r>
              <w:rPr>
                <w:rFonts w:ascii="Times New Roman"/>
                <w:b w:val="false"/>
                <w:i w:val="false"/>
                <w:color w:val="000000"/>
                <w:sz w:val="20"/>
              </w:rPr>
              <w:t>
2) страна и место изготовления продукции;</w:t>
            </w:r>
          </w:p>
          <w:p>
            <w:pPr>
              <w:spacing w:after="20"/>
              <w:ind w:left="20"/>
              <w:jc w:val="both"/>
            </w:pPr>
            <w:r>
              <w:rPr>
                <w:rFonts w:ascii="Times New Roman"/>
                <w:b w:val="false"/>
                <w:i w:val="false"/>
                <w:color w:val="000000"/>
                <w:sz w:val="20"/>
              </w:rPr>
              <w:t>
3) наименование и юридический адрес изготовителя (поставщика);</w:t>
            </w:r>
          </w:p>
          <w:p>
            <w:pPr>
              <w:spacing w:after="20"/>
              <w:ind w:left="20"/>
              <w:jc w:val="both"/>
            </w:pPr>
            <w:r>
              <w:rPr>
                <w:rFonts w:ascii="Times New Roman"/>
                <w:b w:val="false"/>
                <w:i w:val="false"/>
                <w:color w:val="000000"/>
                <w:sz w:val="20"/>
              </w:rPr>
              <w:t>
4) наименование и обозначение нормативного документа на продукцию;</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масса (брутто);</w:t>
            </w:r>
          </w:p>
          <w:p>
            <w:pPr>
              <w:spacing w:after="20"/>
              <w:ind w:left="20"/>
              <w:jc w:val="both"/>
            </w:pPr>
            <w:r>
              <w:rPr>
                <w:rFonts w:ascii="Times New Roman"/>
                <w:b w:val="false"/>
                <w:i w:val="false"/>
                <w:color w:val="000000"/>
                <w:sz w:val="20"/>
              </w:rPr>
              <w:t>
7) дата изготовления продукции;</w:t>
            </w:r>
          </w:p>
          <w:p>
            <w:pPr>
              <w:spacing w:after="20"/>
              <w:ind w:left="20"/>
              <w:jc w:val="both"/>
            </w:pPr>
            <w:r>
              <w:rPr>
                <w:rFonts w:ascii="Times New Roman"/>
                <w:b w:val="false"/>
                <w:i w:val="false"/>
                <w:color w:val="000000"/>
                <w:sz w:val="20"/>
              </w:rPr>
              <w:t>
8) срок хранения;</w:t>
            </w:r>
          </w:p>
          <w:p>
            <w:pPr>
              <w:spacing w:after="20"/>
              <w:ind w:left="20"/>
              <w:jc w:val="both"/>
            </w:pPr>
            <w:r>
              <w:rPr>
                <w:rFonts w:ascii="Times New Roman"/>
                <w:b w:val="false"/>
                <w:i w:val="false"/>
                <w:color w:val="000000"/>
                <w:sz w:val="20"/>
              </w:rPr>
              <w:t>
9) коды ТН ВЭД ТС и Классификатор продукции по видам экономической деятельности (КП ВЭД);</w:t>
            </w:r>
          </w:p>
          <w:p>
            <w:pPr>
              <w:spacing w:after="20"/>
              <w:ind w:left="20"/>
              <w:jc w:val="both"/>
            </w:pPr>
            <w:r>
              <w:rPr>
                <w:rFonts w:ascii="Times New Roman"/>
                <w:b w:val="false"/>
                <w:i w:val="false"/>
                <w:color w:val="000000"/>
                <w:sz w:val="20"/>
              </w:rPr>
              <w:t>
10) технологическая марка (группа, подгруппа);</w:t>
            </w:r>
          </w:p>
          <w:p>
            <w:pPr>
              <w:spacing w:after="20"/>
              <w:ind w:left="20"/>
              <w:jc w:val="both"/>
            </w:pPr>
            <w:r>
              <w:rPr>
                <w:rFonts w:ascii="Times New Roman"/>
                <w:b w:val="false"/>
                <w:i w:val="false"/>
                <w:color w:val="000000"/>
                <w:sz w:val="20"/>
              </w:rPr>
              <w:t>
11) ранг (категория, подкатегория);</w:t>
            </w:r>
          </w:p>
          <w:p>
            <w:pPr>
              <w:spacing w:after="20"/>
              <w:ind w:left="20"/>
              <w:jc w:val="both"/>
            </w:pPr>
            <w:r>
              <w:rPr>
                <w:rFonts w:ascii="Times New Roman"/>
                <w:b w:val="false"/>
                <w:i w:val="false"/>
                <w:color w:val="000000"/>
                <w:sz w:val="20"/>
              </w:rPr>
              <w:t>
12) размер кусков;</w:t>
            </w:r>
          </w:p>
          <w:p>
            <w:pPr>
              <w:spacing w:after="20"/>
              <w:ind w:left="20"/>
              <w:jc w:val="both"/>
            </w:pPr>
            <w:r>
              <w:rPr>
                <w:rFonts w:ascii="Times New Roman"/>
                <w:b w:val="false"/>
                <w:i w:val="false"/>
                <w:color w:val="000000"/>
                <w:sz w:val="20"/>
              </w:rPr>
              <w:t>
13) кодовое число;</w:t>
            </w:r>
          </w:p>
          <w:p>
            <w:pPr>
              <w:spacing w:after="20"/>
              <w:ind w:left="20"/>
              <w:jc w:val="both"/>
            </w:pPr>
            <w:r>
              <w:rPr>
                <w:rFonts w:ascii="Times New Roman"/>
                <w:b w:val="false"/>
                <w:i w:val="false"/>
                <w:color w:val="000000"/>
                <w:sz w:val="20"/>
              </w:rPr>
              <w:t>
14) сведения о документе подтверждения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показателей, характеризующих безопасность углей и продуктов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углей и продуктов их переработки нормам радиационной опасности твердого топлива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радиационной опасности золы твердого топлива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1 классу радиационной опасности. Сумма отношений удельной активности природных радионуклидов к минимально значимой удельной активности не превышать единицы. Угли и продукты их переработки, имеющие сумму отношений удельной активности природных радионуклидов к минимально значимой удельной активности более единицы, не могут использоваться в хозяйственной деятельности.</w:t>
            </w:r>
          </w:p>
          <w:p>
            <w:pPr>
              <w:spacing w:after="20"/>
              <w:ind w:left="20"/>
              <w:jc w:val="both"/>
            </w:pPr>
            <w:r>
              <w:rPr>
                <w:rFonts w:ascii="Times New Roman"/>
                <w:b w:val="false"/>
                <w:i w:val="false"/>
                <w:color w:val="000000"/>
                <w:sz w:val="20"/>
              </w:rPr>
              <w:t>
Зола углей и продуктов их переработки может использоваться в различных направлениях в зависимости от эффективной удельной активности природных радионуклидов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показателям температуры воспламенения и температуры самовоспламенения, характеризующим горючесть и пожаровзрывоопасность углей и продуктов их переработки.</w:t>
            </w:r>
          </w:p>
          <w:p>
            <w:pPr>
              <w:spacing w:after="20"/>
              <w:ind w:left="20"/>
              <w:jc w:val="both"/>
            </w:pPr>
            <w:r>
              <w:rPr>
                <w:rFonts w:ascii="Times New Roman"/>
                <w:b w:val="false"/>
                <w:i w:val="false"/>
                <w:color w:val="000000"/>
                <w:sz w:val="20"/>
              </w:rPr>
              <w:t xml:space="preserve">
Температура воспламенения углей и продуктов их переработки не менее 120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самовоспламенения углей и продуктов их переработки не менее 50 </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углей и продуктов их переработки по склонности к окислению и самовозгоранию и предельным срокам их хранения группе углей по склонности к окислению и самовозгоранию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показателям взрывоопасности пылевоздушных смесей в зависимости от влажности смеси, крупности пыли, доступа воздуха в слой топлива, температуры окружающей среды и топлива, его природных свойств.</w:t>
            </w:r>
          </w:p>
          <w:p>
            <w:pPr>
              <w:spacing w:after="20"/>
              <w:ind w:left="20"/>
              <w:jc w:val="both"/>
            </w:pPr>
            <w:r>
              <w:rPr>
                <w:rFonts w:ascii="Times New Roman"/>
                <w:b w:val="false"/>
                <w:i w:val="false"/>
                <w:color w:val="000000"/>
                <w:sz w:val="20"/>
              </w:rPr>
              <w:t>
Наиболее взрывоопасной является пылевоздушная смесь с содержанием угольных частиц размером менее 0,2 мм.</w:t>
            </w:r>
          </w:p>
          <w:p>
            <w:pPr>
              <w:spacing w:after="20"/>
              <w:ind w:left="20"/>
              <w:jc w:val="both"/>
            </w:pPr>
            <w:r>
              <w:rPr>
                <w:rFonts w:ascii="Times New Roman"/>
                <w:b w:val="false"/>
                <w:i w:val="false"/>
                <w:color w:val="000000"/>
                <w:sz w:val="20"/>
              </w:rPr>
              <w:t>
Исходными данными для расчета критерия взрываемости пыли являются:</w:t>
            </w:r>
          </w:p>
          <w:p>
            <w:pPr>
              <w:spacing w:after="20"/>
              <w:ind w:left="20"/>
              <w:jc w:val="both"/>
            </w:pPr>
            <w:r>
              <w:rPr>
                <w:rFonts w:ascii="Times New Roman"/>
                <w:b w:val="false"/>
                <w:i w:val="false"/>
                <w:color w:val="000000"/>
                <w:sz w:val="20"/>
              </w:rPr>
              <w:t>
1) ситовый анализ угля и пыли;</w:t>
            </w:r>
          </w:p>
          <w:p>
            <w:pPr>
              <w:spacing w:after="20"/>
              <w:ind w:left="20"/>
              <w:jc w:val="both"/>
            </w:pPr>
            <w:r>
              <w:rPr>
                <w:rFonts w:ascii="Times New Roman"/>
                <w:b w:val="false"/>
                <w:i w:val="false"/>
                <w:color w:val="000000"/>
                <w:sz w:val="20"/>
              </w:rPr>
              <w:t>
2) технический анализ;</w:t>
            </w:r>
          </w:p>
          <w:p>
            <w:pPr>
              <w:spacing w:after="20"/>
              <w:ind w:left="20"/>
              <w:jc w:val="both"/>
            </w:pPr>
            <w:r>
              <w:rPr>
                <w:rFonts w:ascii="Times New Roman"/>
                <w:b w:val="false"/>
                <w:i w:val="false"/>
                <w:color w:val="000000"/>
                <w:sz w:val="20"/>
              </w:rPr>
              <w:t>
3) элементный анализ;</w:t>
            </w:r>
          </w:p>
          <w:p>
            <w:pPr>
              <w:spacing w:after="20"/>
              <w:ind w:left="20"/>
              <w:jc w:val="both"/>
            </w:pPr>
            <w:r>
              <w:rPr>
                <w:rFonts w:ascii="Times New Roman"/>
                <w:b w:val="false"/>
                <w:i w:val="false"/>
                <w:color w:val="000000"/>
                <w:sz w:val="20"/>
              </w:rPr>
              <w:t>
4) теплота сгорания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качества углей и продуктов их переработки безопасности перевозимых грузов. </w:t>
            </w:r>
          </w:p>
          <w:p>
            <w:pPr>
              <w:spacing w:after="20"/>
              <w:ind w:left="20"/>
              <w:jc w:val="both"/>
            </w:pPr>
            <w:r>
              <w:rPr>
                <w:rFonts w:ascii="Times New Roman"/>
                <w:b w:val="false"/>
                <w:i w:val="false"/>
                <w:color w:val="000000"/>
                <w:sz w:val="20"/>
              </w:rPr>
              <w:t>
Показателями, характеризующими безопасность грузов с углями и продуктами их переработки, являются:</w:t>
            </w:r>
          </w:p>
          <w:p>
            <w:pPr>
              <w:spacing w:after="20"/>
              <w:ind w:left="20"/>
              <w:jc w:val="both"/>
            </w:pPr>
            <w:r>
              <w:rPr>
                <w:rFonts w:ascii="Times New Roman"/>
                <w:b w:val="false"/>
                <w:i w:val="false"/>
                <w:color w:val="000000"/>
                <w:sz w:val="20"/>
              </w:rPr>
              <w:t>
1) срок хранения;</w:t>
            </w:r>
          </w:p>
          <w:p>
            <w:pPr>
              <w:spacing w:after="20"/>
              <w:ind w:left="20"/>
              <w:jc w:val="both"/>
            </w:pPr>
            <w:r>
              <w:rPr>
                <w:rFonts w:ascii="Times New Roman"/>
                <w:b w:val="false"/>
                <w:i w:val="false"/>
                <w:color w:val="000000"/>
                <w:sz w:val="20"/>
              </w:rPr>
              <w:t>
2) температура воспламенения;</w:t>
            </w:r>
          </w:p>
          <w:p>
            <w:pPr>
              <w:spacing w:after="20"/>
              <w:ind w:left="20"/>
              <w:jc w:val="both"/>
            </w:pPr>
            <w:r>
              <w:rPr>
                <w:rFonts w:ascii="Times New Roman"/>
                <w:b w:val="false"/>
                <w:i w:val="false"/>
                <w:color w:val="000000"/>
                <w:sz w:val="20"/>
              </w:rPr>
              <w:t>
3) температура самовоспламенения;</w:t>
            </w:r>
          </w:p>
          <w:p>
            <w:pPr>
              <w:spacing w:after="20"/>
              <w:ind w:left="20"/>
              <w:jc w:val="both"/>
            </w:pPr>
            <w:r>
              <w:rPr>
                <w:rFonts w:ascii="Times New Roman"/>
                <w:b w:val="false"/>
                <w:i w:val="false"/>
                <w:color w:val="000000"/>
                <w:sz w:val="20"/>
              </w:rPr>
              <w:t>
4) группа взрывоопасности.</w:t>
            </w:r>
          </w:p>
          <w:p>
            <w:pPr>
              <w:spacing w:after="20"/>
              <w:ind w:left="20"/>
              <w:jc w:val="both"/>
            </w:pPr>
            <w:r>
              <w:rPr>
                <w:rFonts w:ascii="Times New Roman"/>
                <w:b w:val="false"/>
                <w:i w:val="false"/>
                <w:color w:val="000000"/>
                <w:sz w:val="20"/>
              </w:rPr>
              <w:t>
Значения приведенных показателей соответствовать требованиям группы углей по склонности к окислению и самовозгоранию и группам взрывоопасности пыли углей и продуктов их переработки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углей и продуктов их переработки на специально оборудованных складах и сухих площадках, не подверженных обводнению, с соблюдением мер, исключающих возникновение пожаров и взрывов, загрязнение и заражение окружающей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и площадок для хранения самовозгораемых углей на расстоянии от сгораемых строений не менее 8 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складского хозяйства и организации транспортных операций продукции углей и продуктов их переработки, обеспечивающей механизированную подачу, разгрузку и погрузку с применением способов и устройств, предотвращающих загрязнение, воздушного бассейна и промплощадки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хранения выгруженных углей в бесформенных кучах и навалом сроком не более 2 суток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предприятием контроля температурного состояния штабеля, в период длительного хранения углей. Частота измерения температуры зависит от склонности угля к самовозгоранию.</w:t>
            </w:r>
          </w:p>
          <w:p>
            <w:pPr>
              <w:spacing w:after="20"/>
              <w:ind w:left="20"/>
              <w:jc w:val="both"/>
            </w:pPr>
            <w:r>
              <w:rPr>
                <w:rFonts w:ascii="Times New Roman"/>
                <w:b w:val="false"/>
                <w:i w:val="false"/>
                <w:color w:val="000000"/>
                <w:sz w:val="20"/>
              </w:rPr>
              <w:t xml:space="preserve">
При нагревании угля в штабеле выше критической температуры более 2 </w:t>
            </w:r>
            <w:r>
              <w:rPr>
                <w:rFonts w:ascii="Times New Roman"/>
                <w:b w:val="false"/>
                <w:i w:val="false"/>
                <w:color w:val="000000"/>
                <w:vertAlign w:val="superscript"/>
              </w:rPr>
              <w:t>о</w:t>
            </w:r>
            <w:r>
              <w:rPr>
                <w:rFonts w:ascii="Times New Roman"/>
                <w:b w:val="false"/>
                <w:i w:val="false"/>
                <w:color w:val="000000"/>
                <w:sz w:val="20"/>
              </w:rPr>
              <w:t>С принятие мер для ликвидации очагов самовозгорания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мер по уменьшению измельчения угля и предотвращению его распыления при подаче угля на склад, укладке в штабель и обратной подаче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предупреждения нагревания и самовозгорания угля в штабеле при длительном хранении, выполняют следующее:</w:t>
            </w:r>
          </w:p>
          <w:p>
            <w:pPr>
              <w:spacing w:after="20"/>
              <w:ind w:left="20"/>
              <w:jc w:val="both"/>
            </w:pPr>
            <w:r>
              <w:rPr>
                <w:rFonts w:ascii="Times New Roman"/>
                <w:b w:val="false"/>
                <w:i w:val="false"/>
                <w:color w:val="000000"/>
                <w:sz w:val="20"/>
              </w:rPr>
              <w:t>
1)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w:t>
            </w:r>
          </w:p>
          <w:p>
            <w:pPr>
              <w:spacing w:after="20"/>
              <w:ind w:left="20"/>
              <w:jc w:val="both"/>
            </w:pPr>
            <w:r>
              <w:rPr>
                <w:rFonts w:ascii="Times New Roman"/>
                <w:b w:val="false"/>
                <w:i w:val="false"/>
                <w:color w:val="000000"/>
                <w:sz w:val="20"/>
              </w:rPr>
              <w:t>
2)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ингибиторов-антиокислителей в виде растворов, водных эмульсий, суспензий или сухих реагентов при послойном формировании штабеля с последующим послойным и поверхностным уплотнением угля;</w:t>
            </w:r>
          </w:p>
          <w:p>
            <w:pPr>
              <w:spacing w:after="20"/>
              <w:ind w:left="20"/>
              <w:jc w:val="both"/>
            </w:pPr>
            <w:r>
              <w:rPr>
                <w:rFonts w:ascii="Times New Roman"/>
                <w:b w:val="false"/>
                <w:i w:val="false"/>
                <w:color w:val="000000"/>
                <w:sz w:val="20"/>
              </w:rPr>
              <w:t>
равномерное смачивание угля при его закладке в штабель водной суспензией гашеной извести концентрации не более 3 %. Зольность при этом возрастает не более чем на 0,06 %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отгрузка из штабеля нагретого угля в железнодорожные вагоны и транспортные средства при обнаружении появившихся в штабелях угля очагов самонагревания угля с температурой более 35</w:t>
            </w:r>
            <w:r>
              <w:rPr>
                <w:rFonts w:ascii="Times New Roman"/>
                <w:b w:val="false"/>
                <w:i w:val="false"/>
                <w:color w:val="000000"/>
                <w:vertAlign w:val="superscript"/>
              </w:rPr>
              <w:t>о</w:t>
            </w:r>
            <w:r>
              <w:rPr>
                <w:rFonts w:ascii="Times New Roman"/>
                <w:b w:val="false"/>
                <w:i w:val="false"/>
                <w:color w:val="000000"/>
                <w:sz w:val="20"/>
              </w:rPr>
              <w:t>С. При невозможности такой отгрузки производится дополнительное уплотнение угля в районе очагов нагрева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удаление из штабеля всего нагретого угля, складируя его на свободном месте в отдельные штабеля высотой не более 1,5 м, когда температура угля продолжает увеличиваться и достигает 50</w:t>
            </w:r>
            <w:r>
              <w:rPr>
                <w:rFonts w:ascii="Times New Roman"/>
                <w:b w:val="false"/>
                <w:i w:val="false"/>
                <w:color w:val="000000"/>
                <w:vertAlign w:val="superscript"/>
              </w:rPr>
              <w:t>о</w:t>
            </w:r>
            <w:r>
              <w:rPr>
                <w:rFonts w:ascii="Times New Roman"/>
                <w:b w:val="false"/>
                <w:i w:val="false"/>
                <w:color w:val="000000"/>
                <w:sz w:val="20"/>
              </w:rPr>
              <w:t>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ежемесячного контроля метана при использовании укрытых складов для углей, опасных по газу, в подземной части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углей и продуктов их переработки, в соответствии с которым в целях обнаружения возможных очагов самовозгорания пород и своевременного принятия мер по предупреждению самовозгорания предприятием производится контроль теплового состояния отвалов.</w:t>
            </w:r>
          </w:p>
          <w:p>
            <w:pPr>
              <w:spacing w:after="20"/>
              <w:ind w:left="20"/>
              <w:jc w:val="both"/>
            </w:pPr>
            <w:r>
              <w:rPr>
                <w:rFonts w:ascii="Times New Roman"/>
                <w:b w:val="false"/>
                <w:i w:val="false"/>
                <w:color w:val="000000"/>
                <w:sz w:val="20"/>
              </w:rPr>
              <w:t>
Замеры температур проводятся на глубине не менее 0,5 м от поверхности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углей и продуктов их переработки порядку транспортирования, при котором агломерированное топливо транспортируется в охлажденном виде (не более 45</w:t>
            </w:r>
            <w:r>
              <w:rPr>
                <w:rFonts w:ascii="Times New Roman"/>
                <w:b w:val="false"/>
                <w:i w:val="false"/>
                <w:color w:val="000000"/>
                <w:vertAlign w:val="superscript"/>
              </w:rPr>
              <w:t>о</w:t>
            </w:r>
            <w:r>
              <w:rPr>
                <w:rFonts w:ascii="Times New Roman"/>
                <w:b w:val="false"/>
                <w:i w:val="false"/>
                <w:color w:val="000000"/>
                <w:sz w:val="20"/>
              </w:rPr>
              <w:t>С), незамороженным, легко отделяется друг от друга, не рассыпается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перед погрузкой углей в полувагоны с нижними разгрузочными люками по уплотнению имеющихся зазоров, в том числе и конструктивных, через которые при перевозках возможно просыпание углей классов менее 13 мм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безопасная перевозка продукции углей и продуктов их переработки различными видами транспорта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строительных объектов и строительной продукции на рынке, если имеется подтвержденная информация от изыскателя, проектировщика, изготовителя (поставщика, продавца) или уполномоченного представителя, собственников строительного объекта и независимых экспертов, организаций, осуществляющих авторский и (или) технический надзор, государственных органов, уполномоченных осуществлять государственный контроль и надзор, о несоответствии продукции требованиям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строительной продукции в соответствии нижеследующему:</w:t>
            </w:r>
          </w:p>
          <w:p>
            <w:pPr>
              <w:spacing w:after="20"/>
              <w:ind w:left="20"/>
              <w:jc w:val="both"/>
            </w:pPr>
            <w:r>
              <w:rPr>
                <w:rFonts w:ascii="Times New Roman"/>
                <w:b w:val="false"/>
                <w:i w:val="false"/>
                <w:color w:val="000000"/>
                <w:sz w:val="20"/>
              </w:rPr>
              <w:t>
1)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 необходимой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2) инструкцией по информированию соответствующих органов государственного контроля и надзора при выявлении после реализации строительных материалов, изделий и конструкций их потенциальной опасности с целью принятия ими мер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реализуемых строительных материалов и изделий для бытовых нужд граждан следующим требованиям:</w:t>
            </w:r>
          </w:p>
          <w:p>
            <w:pPr>
              <w:spacing w:after="20"/>
              <w:ind w:left="20"/>
              <w:jc w:val="both"/>
            </w:pPr>
            <w:r>
              <w:rPr>
                <w:rFonts w:ascii="Times New Roman"/>
                <w:b w:val="false"/>
                <w:i w:val="false"/>
                <w:color w:val="000000"/>
                <w:sz w:val="20"/>
              </w:rPr>
              <w:t>
1) безопасные, с неистекшими сроками их хранения или годности, ненарушенной тарой и упаковкой (в соответствии с требованиями нормативных документов), полным комплектом эксплуатационной документации. Не допускаются к реализации (продаже),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2) обеспечиваться инструкцией для потребителей о правилах безопасного использования строительных материалов и изделий по их применению;</w:t>
            </w:r>
          </w:p>
          <w:p>
            <w:pPr>
              <w:spacing w:after="20"/>
              <w:ind w:left="20"/>
              <w:jc w:val="both"/>
            </w:pPr>
            <w:r>
              <w:rPr>
                <w:rFonts w:ascii="Times New Roman"/>
                <w:b w:val="false"/>
                <w:i w:val="false"/>
                <w:color w:val="000000"/>
                <w:sz w:val="20"/>
              </w:rPr>
              <w:t>
3) обеспечиваться информацией для продавцов о порядке действий при их реализации, о регистрации жалоб потребителей с целью дальнейшей проверки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на период с момента ввода строительного объекта в эксплуатацию и до наступления этапа его постутилизации обращение строительного объекта на рынке допускается только при наличии технического паспорта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и реализации на рынке строительных объектов и строительной продукции, а также ввод в эксплуатацию строительных объектов, подлежащих обязательному подтверждению соответствия, без прохождения процедур подтверждения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ответственным пользователям строительного объекта следует:</w:t>
            </w:r>
          </w:p>
          <w:p>
            <w:pPr>
              <w:spacing w:after="20"/>
              <w:ind w:left="20"/>
              <w:jc w:val="both"/>
            </w:pPr>
            <w:r>
              <w:rPr>
                <w:rFonts w:ascii="Times New Roman"/>
                <w:b w:val="false"/>
                <w:i w:val="false"/>
                <w:color w:val="000000"/>
                <w:sz w:val="20"/>
              </w:rPr>
              <w:t>
1) эксплуатировать строительный объект, прошедший процедуру оценки соответствия;</w:t>
            </w:r>
          </w:p>
          <w:p>
            <w:pPr>
              <w:spacing w:after="20"/>
              <w:ind w:left="20"/>
              <w:jc w:val="both"/>
            </w:pPr>
            <w:r>
              <w:rPr>
                <w:rFonts w:ascii="Times New Roman"/>
                <w:b w:val="false"/>
                <w:i w:val="false"/>
                <w:color w:val="000000"/>
                <w:sz w:val="20"/>
              </w:rPr>
              <w:t>
2) проводить инструктаж всех пользователей по правилам безопасной эксплуатации строительного объекта;</w:t>
            </w:r>
          </w:p>
          <w:p>
            <w:pPr>
              <w:spacing w:after="20"/>
              <w:ind w:left="20"/>
              <w:jc w:val="both"/>
            </w:pPr>
            <w:r>
              <w:rPr>
                <w:rFonts w:ascii="Times New Roman"/>
                <w:b w:val="false"/>
                <w:i w:val="false"/>
                <w:color w:val="000000"/>
                <w:sz w:val="20"/>
              </w:rPr>
              <w:t>
3) не допускать эксплуатацию строительных объектов без наличия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w:t>
            </w:r>
          </w:p>
          <w:p>
            <w:pPr>
              <w:spacing w:after="20"/>
              <w:ind w:left="20"/>
              <w:jc w:val="both"/>
            </w:pPr>
            <w:r>
              <w:rPr>
                <w:rFonts w:ascii="Times New Roman"/>
                <w:b w:val="false"/>
                <w:i w:val="false"/>
                <w:color w:val="000000"/>
                <w:sz w:val="20"/>
              </w:rPr>
              <w:t>
4) информировать органы государственного контроля и надзора, а также всех пользователей и собственников строительного объекта об особенностях эксплуатации строительного объекта, требующих специальных знаний (навыков);</w:t>
            </w:r>
          </w:p>
          <w:p>
            <w:pPr>
              <w:spacing w:after="20"/>
              <w:ind w:left="20"/>
              <w:jc w:val="both"/>
            </w:pPr>
            <w:r>
              <w:rPr>
                <w:rFonts w:ascii="Times New Roman"/>
                <w:b w:val="false"/>
                <w:i w:val="false"/>
                <w:color w:val="000000"/>
                <w:sz w:val="20"/>
              </w:rPr>
              <w:t>
5) обеспечивать проведение своевременных мероприятий по предупреждению всех пользователей и собственников строительных объектов при наступлении опасности, а также необходимых мероприятий вплоть до запрета эксплуатации при поступлении информации об аварии;</w:t>
            </w:r>
          </w:p>
          <w:p>
            <w:pPr>
              <w:spacing w:after="20"/>
              <w:ind w:left="20"/>
              <w:jc w:val="both"/>
            </w:pPr>
            <w:r>
              <w:rPr>
                <w:rFonts w:ascii="Times New Roman"/>
                <w:b w:val="false"/>
                <w:i w:val="false"/>
                <w:color w:val="000000"/>
                <w:sz w:val="20"/>
              </w:rPr>
              <w:t>
6) при необходимости аварийного вывода строительного объекта из эксплуатации принимать необходимые для этого меры и безотлагательно информировать соответствующие органы государственного контроля и надзора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создание строительного объекта организовано (запроектировано и построено с использованием строительной продукции) таким образом, чтобы в течение всего жизненного цикла строительного объекта (за исключением этапа постутилизации) обеспечивалось соблюдение следующих существенных требований к безопасности:</w:t>
            </w:r>
          </w:p>
          <w:p>
            <w:pPr>
              <w:spacing w:after="20"/>
              <w:ind w:left="20"/>
              <w:jc w:val="both"/>
            </w:pPr>
            <w:r>
              <w:rPr>
                <w:rFonts w:ascii="Times New Roman"/>
                <w:b w:val="false"/>
                <w:i w:val="false"/>
                <w:color w:val="000000"/>
                <w:sz w:val="20"/>
              </w:rPr>
              <w:t>
1) механическая прочность и устойчивость;</w:t>
            </w:r>
          </w:p>
          <w:p>
            <w:pPr>
              <w:spacing w:after="20"/>
              <w:ind w:left="20"/>
              <w:jc w:val="both"/>
            </w:pPr>
            <w:r>
              <w:rPr>
                <w:rFonts w:ascii="Times New Roman"/>
                <w:b w:val="false"/>
                <w:i w:val="false"/>
                <w:color w:val="000000"/>
                <w:sz w:val="20"/>
              </w:rPr>
              <w:t>
2) пожарная безопасность;</w:t>
            </w:r>
          </w:p>
          <w:p>
            <w:pPr>
              <w:spacing w:after="20"/>
              <w:ind w:left="20"/>
              <w:jc w:val="both"/>
            </w:pPr>
            <w:r>
              <w:rPr>
                <w:rFonts w:ascii="Times New Roman"/>
                <w:b w:val="false"/>
                <w:i w:val="false"/>
                <w:color w:val="000000"/>
                <w:sz w:val="20"/>
              </w:rPr>
              <w:t>
3) безопасность для здоровья (людей и животных) и окружающей среды;</w:t>
            </w:r>
          </w:p>
          <w:p>
            <w:pPr>
              <w:spacing w:after="20"/>
              <w:ind w:left="20"/>
              <w:jc w:val="both"/>
            </w:pPr>
            <w:r>
              <w:rPr>
                <w:rFonts w:ascii="Times New Roman"/>
                <w:b w:val="false"/>
                <w:i w:val="false"/>
                <w:color w:val="000000"/>
                <w:sz w:val="20"/>
              </w:rPr>
              <w:t>
4) безопасность в процессе эксплуатации (использования);</w:t>
            </w:r>
          </w:p>
          <w:p>
            <w:pPr>
              <w:spacing w:after="20"/>
              <w:ind w:left="20"/>
              <w:jc w:val="both"/>
            </w:pPr>
            <w:r>
              <w:rPr>
                <w:rFonts w:ascii="Times New Roman"/>
                <w:b w:val="false"/>
                <w:i w:val="false"/>
                <w:color w:val="000000"/>
                <w:sz w:val="20"/>
              </w:rPr>
              <w:t>
5) защита от шума;</w:t>
            </w:r>
          </w:p>
          <w:p>
            <w:pPr>
              <w:spacing w:after="20"/>
              <w:ind w:left="20"/>
              <w:jc w:val="both"/>
            </w:pPr>
            <w:r>
              <w:rPr>
                <w:rFonts w:ascii="Times New Roman"/>
                <w:b w:val="false"/>
                <w:i w:val="false"/>
                <w:color w:val="000000"/>
                <w:sz w:val="20"/>
              </w:rPr>
              <w:t>
6) экономия энергии и сохранение тепла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механической прочности и устойчивости, строительный объект спроектирован и построен таким образом, чтобы нагрузки, приложенные к строительному объекту в период его строительства и эксплуатации, не приводили к следующим последствиям:</w:t>
            </w:r>
          </w:p>
          <w:p>
            <w:pPr>
              <w:spacing w:after="20"/>
              <w:ind w:left="20"/>
              <w:jc w:val="both"/>
            </w:pPr>
            <w:r>
              <w:rPr>
                <w:rFonts w:ascii="Times New Roman"/>
                <w:b w:val="false"/>
                <w:i w:val="false"/>
                <w:color w:val="000000"/>
                <w:sz w:val="20"/>
              </w:rPr>
              <w:t>
1) обрушению строительного объекта или его части;</w:t>
            </w:r>
          </w:p>
          <w:p>
            <w:pPr>
              <w:spacing w:after="20"/>
              <w:ind w:left="20"/>
              <w:jc w:val="both"/>
            </w:pPr>
            <w:r>
              <w:rPr>
                <w:rFonts w:ascii="Times New Roman"/>
                <w:b w:val="false"/>
                <w:i w:val="false"/>
                <w:color w:val="000000"/>
                <w:sz w:val="20"/>
              </w:rPr>
              <w:t>
2) образованию деформации строительного объекта или его части, превышающей предельно допустимую величину;</w:t>
            </w:r>
          </w:p>
          <w:p>
            <w:pPr>
              <w:spacing w:after="20"/>
              <w:ind w:left="20"/>
              <w:jc w:val="both"/>
            </w:pPr>
            <w:r>
              <w:rPr>
                <w:rFonts w:ascii="Times New Roman"/>
                <w:b w:val="false"/>
                <w:i w:val="false"/>
                <w:color w:val="000000"/>
                <w:sz w:val="20"/>
              </w:rPr>
              <w:t>
3) повреждению строительной продукции, использованной в строительстве строительного объекта в результате значительной деформации несущих конструкций строительного объекта;</w:t>
            </w:r>
          </w:p>
          <w:p>
            <w:pPr>
              <w:spacing w:after="20"/>
              <w:ind w:left="20"/>
              <w:jc w:val="both"/>
            </w:pPr>
            <w:r>
              <w:rPr>
                <w:rFonts w:ascii="Times New Roman"/>
                <w:b w:val="false"/>
                <w:i w:val="false"/>
                <w:color w:val="000000"/>
                <w:sz w:val="20"/>
              </w:rPr>
              <w:t>
4) повреждение в результате нагрузки, по степени воздействия не превышающей первоначальную нагрузку, ставшую источником повреждения.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пожарной безопасности строительный объект спроектирован и построен таким образом, чтобы при пожаре:</w:t>
            </w:r>
          </w:p>
          <w:p>
            <w:pPr>
              <w:spacing w:after="20"/>
              <w:ind w:left="20"/>
              <w:jc w:val="both"/>
            </w:pPr>
            <w:r>
              <w:rPr>
                <w:rFonts w:ascii="Times New Roman"/>
                <w:b w:val="false"/>
                <w:i w:val="false"/>
                <w:color w:val="000000"/>
                <w:sz w:val="20"/>
              </w:rPr>
              <w:t>
1) сохранялась несущая способность строительных конструкций на протяжении установленного строительными нормами (сводами правил) времени;</w:t>
            </w:r>
          </w:p>
          <w:p>
            <w:pPr>
              <w:spacing w:after="20"/>
              <w:ind w:left="20"/>
              <w:jc w:val="both"/>
            </w:pPr>
            <w:r>
              <w:rPr>
                <w:rFonts w:ascii="Times New Roman"/>
                <w:b w:val="false"/>
                <w:i w:val="false"/>
                <w:color w:val="000000"/>
                <w:sz w:val="20"/>
              </w:rPr>
              <w:t>
2) ограничивалось возгорание и распространение огня и дыма в строительном объекте, посредством применения при строительстве и в отделке зданий и сооружений материалов с учетом их горючести, стационарных систем пожаротушения, блокирования лифтовых шахт и коммуникационных путей, устройством пожарных отсеков, применением противопожарных дверей и мероприятий с целью перекрытия вертикальных и горизонтальных путей распространения пожара;</w:t>
            </w:r>
          </w:p>
          <w:p>
            <w:pPr>
              <w:spacing w:after="20"/>
              <w:ind w:left="20"/>
              <w:jc w:val="both"/>
            </w:pPr>
            <w:r>
              <w:rPr>
                <w:rFonts w:ascii="Times New Roman"/>
                <w:b w:val="false"/>
                <w:i w:val="false"/>
                <w:color w:val="000000"/>
                <w:sz w:val="20"/>
              </w:rPr>
              <w:t>
3) ограничивалось распространение пожара на соседние строительные объекты в том числе посредством обеспечения противопожарных разрывов;</w:t>
            </w:r>
          </w:p>
          <w:p>
            <w:pPr>
              <w:spacing w:after="20"/>
              <w:ind w:left="20"/>
              <w:jc w:val="both"/>
            </w:pPr>
            <w:r>
              <w:rPr>
                <w:rFonts w:ascii="Times New Roman"/>
                <w:b w:val="false"/>
                <w:i w:val="false"/>
                <w:color w:val="000000"/>
                <w:sz w:val="20"/>
              </w:rPr>
              <w:t>
4) обеспечивалась безопасность персонала спасательных служб;</w:t>
            </w:r>
          </w:p>
          <w:p>
            <w:pPr>
              <w:spacing w:after="20"/>
              <w:ind w:left="20"/>
              <w:jc w:val="both"/>
            </w:pPr>
            <w:r>
              <w:rPr>
                <w:rFonts w:ascii="Times New Roman"/>
                <w:b w:val="false"/>
                <w:i w:val="false"/>
                <w:color w:val="000000"/>
                <w:sz w:val="20"/>
              </w:rPr>
              <w:t>
5) обеспечение своевременного оповещения о возникновении очага возгорания, посредством применения систем пожарной сигнализации и оповещения о пожаре;</w:t>
            </w:r>
          </w:p>
          <w:p>
            <w:pPr>
              <w:spacing w:after="20"/>
              <w:ind w:left="20"/>
              <w:jc w:val="both"/>
            </w:pPr>
            <w:r>
              <w:rPr>
                <w:rFonts w:ascii="Times New Roman"/>
                <w:b w:val="false"/>
                <w:i w:val="false"/>
                <w:color w:val="000000"/>
                <w:sz w:val="20"/>
              </w:rPr>
              <w:t>
6) обеспечение возможности безопасной эвакуации людей, с учетом особенностей групп населения, в безопасную зону до нанесения вреда их жизни и здоровью вследствие воздействия опасных факторов пожара, посредством применения систем дымоудаления, незадымляемых лестниц, неблокируемых дверей и люков, обозначением путей эвакуации самосветящимися указателями (без применения электрической энергии);</w:t>
            </w:r>
          </w:p>
          <w:p>
            <w:pPr>
              <w:spacing w:after="20"/>
              <w:ind w:left="20"/>
              <w:jc w:val="both"/>
            </w:pPr>
            <w:r>
              <w:rPr>
                <w:rFonts w:ascii="Times New Roman"/>
                <w:b w:val="false"/>
                <w:i w:val="false"/>
                <w:color w:val="000000"/>
                <w:sz w:val="20"/>
              </w:rPr>
              <w:t>
7) обеспечение доступа противопожарных подразделений и спасателей и возможность доставки средств пожаротушения во все помещения здания и сооружения;</w:t>
            </w:r>
          </w:p>
          <w:p>
            <w:pPr>
              <w:spacing w:after="20"/>
              <w:ind w:left="20"/>
              <w:jc w:val="both"/>
            </w:pPr>
            <w:r>
              <w:rPr>
                <w:rFonts w:ascii="Times New Roman"/>
                <w:b w:val="false"/>
                <w:i w:val="false"/>
                <w:color w:val="000000"/>
                <w:sz w:val="20"/>
              </w:rPr>
              <w:t>
8) обеспечение свободного подъезда пожарной техники к зданиям и сооружениям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для здоровья людей, животных и окружающей среды строительный объект спроектирован и построен таким образом, чтобы не создавалась угроза здоровью и безопасным санитарно-гигиеническим условиям находящихся в нем людей, животных и окружающей среде в результате:</w:t>
            </w:r>
          </w:p>
          <w:p>
            <w:pPr>
              <w:spacing w:after="20"/>
              <w:ind w:left="20"/>
              <w:jc w:val="both"/>
            </w:pPr>
            <w:r>
              <w:rPr>
                <w:rFonts w:ascii="Times New Roman"/>
                <w:b w:val="false"/>
                <w:i w:val="false"/>
                <w:color w:val="000000"/>
                <w:sz w:val="20"/>
              </w:rPr>
              <w:t>
1) выделения токсичных веществ;</w:t>
            </w:r>
          </w:p>
          <w:p>
            <w:pPr>
              <w:spacing w:after="20"/>
              <w:ind w:left="20"/>
              <w:jc w:val="both"/>
            </w:pPr>
            <w:r>
              <w:rPr>
                <w:rFonts w:ascii="Times New Roman"/>
                <w:b w:val="false"/>
                <w:i w:val="false"/>
                <w:color w:val="000000"/>
                <w:sz w:val="20"/>
              </w:rPr>
              <w:t>
2) присутствия в воздухе опасных твердых частиц и газообразных примесей;</w:t>
            </w:r>
          </w:p>
          <w:p>
            <w:pPr>
              <w:spacing w:after="20"/>
              <w:ind w:left="20"/>
              <w:jc w:val="both"/>
            </w:pPr>
            <w:r>
              <w:rPr>
                <w:rFonts w:ascii="Times New Roman"/>
                <w:b w:val="false"/>
                <w:i w:val="false"/>
                <w:color w:val="000000"/>
                <w:sz w:val="20"/>
              </w:rPr>
              <w:t>
3) опасного уровня радиации;</w:t>
            </w:r>
          </w:p>
          <w:p>
            <w:pPr>
              <w:spacing w:after="20"/>
              <w:ind w:left="20"/>
              <w:jc w:val="both"/>
            </w:pPr>
            <w:r>
              <w:rPr>
                <w:rFonts w:ascii="Times New Roman"/>
                <w:b w:val="false"/>
                <w:i w:val="false"/>
                <w:color w:val="000000"/>
                <w:sz w:val="20"/>
              </w:rPr>
              <w:t>
4) загрязнение или отравление воды и почвы;</w:t>
            </w:r>
          </w:p>
          <w:p>
            <w:pPr>
              <w:spacing w:after="20"/>
              <w:ind w:left="20"/>
              <w:jc w:val="both"/>
            </w:pPr>
            <w:r>
              <w:rPr>
                <w:rFonts w:ascii="Times New Roman"/>
                <w:b w:val="false"/>
                <w:i w:val="false"/>
                <w:color w:val="000000"/>
                <w:sz w:val="20"/>
              </w:rPr>
              <w:t>
5) неадекватного удаления отработанной воды, дыма, твердых и жидких отходов;</w:t>
            </w:r>
          </w:p>
          <w:p>
            <w:pPr>
              <w:spacing w:after="20"/>
              <w:ind w:left="20"/>
              <w:jc w:val="both"/>
            </w:pPr>
            <w:r>
              <w:rPr>
                <w:rFonts w:ascii="Times New Roman"/>
                <w:b w:val="false"/>
                <w:i w:val="false"/>
                <w:color w:val="000000"/>
                <w:sz w:val="20"/>
              </w:rPr>
              <w:t>
6) просачивания влаги в частях строительного объекта или на его поверхностях, за счет атмосферных осадков и утечки водопроводно-канализационных сетей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в процессе эксплуатации (использования) строительный объект спроектирован и построен таким образом, чтобы не создавались неприемлемые риски несчастных случаев при использовании или обслуживании строительного объекта, включая подскальзывание, падение, столкновение, ожоги, удары электрическим током, травмы в результате взрывов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защиты от шума строительный объект спроектирован и построен таким образом, чтобы шум, воспринимаемый людьми, находящимися в строительном объекте или рядом с ним, не превышал безопасного для здоровья уровня и не препятствовал удовлетворительным условиям сна, отдыха и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экономии энергии и сохранении тепла строительный объект и его системы отопления, кондиционирования и вентиляции спроектированы и построены таким образом, чтобы количество энергии, требуемое для эксплуатации строительного объекта, было низким с учетом климатических условий местности и обеспечения комфорта, находящихся в нем людей и (или) животных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перед выпуском удобрений в обращение на рынок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изготовителем, уполномоченным изготовителем лицом, импортером требований по обеспечению соответствия безопасности удобрений следующим требованиям:</w:t>
            </w:r>
          </w:p>
          <w:p>
            <w:pPr>
              <w:spacing w:after="20"/>
              <w:ind w:left="20"/>
              <w:jc w:val="both"/>
            </w:pPr>
            <w:r>
              <w:rPr>
                <w:rFonts w:ascii="Times New Roman"/>
                <w:b w:val="false"/>
                <w:i w:val="false"/>
                <w:color w:val="000000"/>
                <w:sz w:val="20"/>
              </w:rPr>
              <w:t>
массовая доля биурета (для карбамида) не превышает 1,4 процентов (далее - %);</w:t>
            </w:r>
          </w:p>
          <w:p>
            <w:pPr>
              <w:spacing w:after="20"/>
              <w:ind w:left="20"/>
              <w:jc w:val="both"/>
            </w:pPr>
            <w:r>
              <w:rPr>
                <w:rFonts w:ascii="Times New Roman"/>
                <w:b w:val="false"/>
                <w:i w:val="false"/>
                <w:color w:val="000000"/>
                <w:sz w:val="20"/>
              </w:rPr>
              <w:t>
удельная активность природных радионуклидов для фосфорных удобрений и почвоулучшающих веществ не превышает 4000 беккерель/килограмм;</w:t>
            </w:r>
          </w:p>
          <w:p>
            <w:pPr>
              <w:spacing w:after="20"/>
              <w:ind w:left="20"/>
              <w:jc w:val="both"/>
            </w:pPr>
            <w:r>
              <w:rPr>
                <w:rFonts w:ascii="Times New Roman"/>
                <w:b w:val="false"/>
                <w:i w:val="false"/>
                <w:color w:val="000000"/>
                <w:sz w:val="20"/>
              </w:rPr>
              <w:t>
биологическая безопасность органических и органоминеральных удобрений обеспечивается отсутствием:</w:t>
            </w:r>
          </w:p>
          <w:p>
            <w:pPr>
              <w:spacing w:after="20"/>
              <w:ind w:left="20"/>
              <w:jc w:val="both"/>
            </w:pPr>
            <w:r>
              <w:rPr>
                <w:rFonts w:ascii="Times New Roman"/>
                <w:b w:val="false"/>
                <w:i w:val="false"/>
                <w:color w:val="000000"/>
                <w:sz w:val="20"/>
              </w:rPr>
              <w:t>
1) патогенных бактерий;</w:t>
            </w:r>
          </w:p>
          <w:p>
            <w:pPr>
              <w:spacing w:after="20"/>
              <w:ind w:left="20"/>
              <w:jc w:val="both"/>
            </w:pPr>
            <w:r>
              <w:rPr>
                <w:rFonts w:ascii="Times New Roman"/>
                <w:b w:val="false"/>
                <w:i w:val="false"/>
                <w:color w:val="000000"/>
                <w:sz w:val="20"/>
              </w:rPr>
              <w:t>
2) жизнеспособных яиц гельминтов;</w:t>
            </w:r>
          </w:p>
          <w:p>
            <w:pPr>
              <w:spacing w:after="20"/>
              <w:ind w:left="20"/>
              <w:jc w:val="both"/>
            </w:pPr>
            <w:r>
              <w:rPr>
                <w:rFonts w:ascii="Times New Roman"/>
                <w:b w:val="false"/>
                <w:i w:val="false"/>
                <w:color w:val="000000"/>
                <w:sz w:val="20"/>
              </w:rPr>
              <w:t>
3) цист кишечных патогенных простейших;</w:t>
            </w:r>
          </w:p>
          <w:p>
            <w:pPr>
              <w:spacing w:after="20"/>
              <w:ind w:left="20"/>
              <w:jc w:val="both"/>
            </w:pPr>
            <w:r>
              <w:rPr>
                <w:rFonts w:ascii="Times New Roman"/>
                <w:b w:val="false"/>
                <w:i w:val="false"/>
                <w:color w:val="000000"/>
                <w:sz w:val="20"/>
              </w:rPr>
              <w:t>
4) личинок и куколок синантропных мух;</w:t>
            </w:r>
          </w:p>
          <w:p>
            <w:pPr>
              <w:spacing w:after="20"/>
              <w:ind w:left="20"/>
              <w:jc w:val="both"/>
            </w:pPr>
            <w:r>
              <w:rPr>
                <w:rFonts w:ascii="Times New Roman"/>
                <w:b w:val="false"/>
                <w:i w:val="false"/>
                <w:color w:val="000000"/>
                <w:sz w:val="20"/>
              </w:rPr>
              <w:t>
5) энтерококков;</w:t>
            </w:r>
          </w:p>
          <w:p>
            <w:pPr>
              <w:spacing w:after="20"/>
              <w:ind w:left="20"/>
              <w:jc w:val="both"/>
            </w:pPr>
            <w:r>
              <w:rPr>
                <w:rFonts w:ascii="Times New Roman"/>
                <w:b w:val="false"/>
                <w:i w:val="false"/>
                <w:color w:val="000000"/>
                <w:sz w:val="20"/>
              </w:rPr>
              <w:t>
Для удобрений устанавливается гарантийный срок хранения и срок годности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осуществляется в специальных закрытых помещениях (складах), емкостях (силосах, хранилищах). Допускается хранение удобрений, упакованных в мягкие контейнеры, на открытых площадках с твердым покрытием и под навесом. При хранении обеспечивается сохранность удобрений (их количество и качество) и отсутствует риск нанесения ущерба окружающей среде.</w:t>
            </w:r>
          </w:p>
          <w:p>
            <w:pPr>
              <w:spacing w:after="20"/>
              <w:ind w:left="20"/>
              <w:jc w:val="both"/>
            </w:pPr>
            <w:r>
              <w:rPr>
                <w:rFonts w:ascii="Times New Roman"/>
                <w:b w:val="false"/>
                <w:i w:val="false"/>
                <w:color w:val="000000"/>
                <w:sz w:val="20"/>
              </w:rPr>
              <w:t>
Соблюдение специфических требований к условиям хранения, указанным в паспорте безопасности на конкретный вид удобрения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с учетом их физико-химических свойств и необходимости их раздельного хранения с сильными окислителями, пожароопасными и взрывоопасными веществами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пожаровзрывоопасных удобрений (селитры и удобрения на их основе) в отдельно стоящих складах или секциях складов для минеральных удобрений, размещенных в торцевой части склада и отделенных от остальной части склада противопожарными преградами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в местах хранения удобрений, на видных местах, об особенностях хранения указанных средств, правилах гигиены, мерах безопасности, в том числе при ликвидации тех или иных аварийных ситуаций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хранении превышения количества удобрений емкости склада, предусмотренной его проектом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складов удобрений для совместного хранения продуктов питания, фуража, различных предметов хозяйственного и бытового назначения, техники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бочек, бидонов с жидкими удобрениями производится заливными отверстиями вверх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 местам складирования удобрений свободного доступа персонала на случай аварийной ситуации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хранении емкостей с жидкими удобрениями предусматриваются технические меры и средства, направленные на локализацию всего объема вылившегося продукта при аварийном разрушении емкости (влагонепроницаемые помещения, водонепроницаемые поддоны)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неупакованных минеральных удобрений разных видов в отдельных отсеках склада или отдельных складах.</w:t>
            </w:r>
          </w:p>
          <w:p>
            <w:pPr>
              <w:spacing w:after="20"/>
              <w:ind w:left="20"/>
              <w:jc w:val="both"/>
            </w:pPr>
            <w:r>
              <w:rPr>
                <w:rFonts w:ascii="Times New Roman"/>
                <w:b w:val="false"/>
                <w:i w:val="false"/>
                <w:color w:val="000000"/>
                <w:sz w:val="20"/>
              </w:rPr>
              <w:t>
Складирование в одном складе различных видов минеральных удобрений допускается,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w:t>
            </w:r>
          </w:p>
          <w:p>
            <w:pPr>
              <w:spacing w:after="20"/>
              <w:ind w:left="20"/>
              <w:jc w:val="both"/>
            </w:pPr>
            <w:r>
              <w:rPr>
                <w:rFonts w:ascii="Times New Roman"/>
                <w:b w:val="false"/>
                <w:i w:val="false"/>
                <w:color w:val="000000"/>
                <w:sz w:val="20"/>
              </w:rPr>
              <w:t>
Не допускается смешивание различных видов удобрений и загрязнение их посторонними примесями и предметами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упаковки с удобрениями на стеллажах или поддонах. Высота штабелей удобрений в упакованном виде, хранящихся на поддонах не превышает 2 метров. Удобрения в мягких контейнерах хранят в 2 яруса.</w:t>
            </w:r>
          </w:p>
          <w:p>
            <w:pPr>
              <w:spacing w:after="20"/>
              <w:ind w:left="20"/>
              <w:jc w:val="both"/>
            </w:pPr>
            <w:r>
              <w:rPr>
                <w:rFonts w:ascii="Times New Roman"/>
                <w:b w:val="false"/>
                <w:i w:val="false"/>
                <w:color w:val="000000"/>
                <w:sz w:val="20"/>
              </w:rPr>
              <w:t>
Упакованные удобрения хранятся отдельно по видам. Не допускается хранение упакованных удобрений навалом на полу склада без использования поддонов и стеллажей.</w:t>
            </w:r>
          </w:p>
          <w:p>
            <w:pPr>
              <w:spacing w:after="20"/>
              <w:ind w:left="20"/>
              <w:jc w:val="both"/>
            </w:pPr>
            <w:r>
              <w:rPr>
                <w:rFonts w:ascii="Times New Roman"/>
                <w:b w:val="false"/>
                <w:i w:val="false"/>
                <w:color w:val="000000"/>
                <w:sz w:val="20"/>
              </w:rPr>
              <w:t>
Расположение стеллажей и складируемых упакованных удобрений на поддонах внутри склада обеспечивают возможность уборки помещений, продвижения погрузчиков, свободный доступ персонала, а также циркуляцию воздуха внутри склада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подстилочный навоз, компосты, твердую фракцию жидкого навоза хранят в буртах на площадках с твердым покрытием, препятствующим инфильтрации удобрений в почву и грунтовые воды. Площадки хранения обеспечиваются жижесборниками и защищаются от заливания дождевыми и талыми водами.</w:t>
            </w:r>
          </w:p>
          <w:p>
            <w:pPr>
              <w:spacing w:after="20"/>
              <w:ind w:left="20"/>
              <w:jc w:val="both"/>
            </w:pPr>
            <w:r>
              <w:rPr>
                <w:rFonts w:ascii="Times New Roman"/>
                <w:b w:val="false"/>
                <w:i w:val="false"/>
                <w:color w:val="000000"/>
                <w:sz w:val="20"/>
              </w:rPr>
              <w:t>
При хранении бурты твердых органических удобрений покрываются слоем адсорбирующих материалов – торфом, опилками, соломой для снижения потерь питательных элементов, уровня загрязнения воздуха токсичными газами.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полужидкого, жидкого навоза, помета, стоков в специальных накопителях секционного типа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где размещены сооружения по обработке жидкого навоза, карантинных емкостей для шестисуточного выдерживания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упаковки и тары, материалов устойчивых к разрушающему или иному вредному воздействию удобрений и не взаимодействующие с ними, вступая в реакцию, вызывающую:</w:t>
            </w:r>
          </w:p>
          <w:p>
            <w:pPr>
              <w:spacing w:after="20"/>
              <w:ind w:left="20"/>
              <w:jc w:val="both"/>
            </w:pPr>
            <w:r>
              <w:rPr>
                <w:rFonts w:ascii="Times New Roman"/>
                <w:b w:val="false"/>
                <w:i w:val="false"/>
                <w:color w:val="000000"/>
                <w:sz w:val="20"/>
              </w:rPr>
              <w:t>
1) возгорание и (или) выделение значительного количества тепла;</w:t>
            </w:r>
          </w:p>
          <w:p>
            <w:pPr>
              <w:spacing w:after="20"/>
              <w:ind w:left="20"/>
              <w:jc w:val="both"/>
            </w:pPr>
            <w:r>
              <w:rPr>
                <w:rFonts w:ascii="Times New Roman"/>
                <w:b w:val="false"/>
                <w:i w:val="false"/>
                <w:color w:val="000000"/>
                <w:sz w:val="20"/>
              </w:rPr>
              <w:t>
2) выделение легковоспламеняющихся, токсичных или удушающих газов;</w:t>
            </w:r>
          </w:p>
          <w:p>
            <w:pPr>
              <w:spacing w:after="20"/>
              <w:ind w:left="20"/>
              <w:jc w:val="both"/>
            </w:pPr>
            <w:r>
              <w:rPr>
                <w:rFonts w:ascii="Times New Roman"/>
                <w:b w:val="false"/>
                <w:i w:val="false"/>
                <w:color w:val="000000"/>
                <w:sz w:val="20"/>
              </w:rPr>
              <w:t>
3) образование химически активных и опасных веществ.</w:t>
            </w:r>
          </w:p>
          <w:p>
            <w:pPr>
              <w:spacing w:after="20"/>
              <w:ind w:left="20"/>
              <w:jc w:val="both"/>
            </w:pPr>
            <w:r>
              <w:rPr>
                <w:rFonts w:ascii="Times New Roman"/>
                <w:b w:val="false"/>
                <w:i w:val="false"/>
                <w:color w:val="000000"/>
                <w:sz w:val="20"/>
              </w:rPr>
              <w:t>
Удобрения имеют маркировку, содержащую следующую информацию:</w:t>
            </w:r>
          </w:p>
          <w:p>
            <w:pPr>
              <w:spacing w:after="20"/>
              <w:ind w:left="20"/>
              <w:jc w:val="both"/>
            </w:pPr>
            <w:r>
              <w:rPr>
                <w:rFonts w:ascii="Times New Roman"/>
                <w:b w:val="false"/>
                <w:i w:val="false"/>
                <w:color w:val="000000"/>
                <w:sz w:val="20"/>
              </w:rPr>
              <w:t>
1) наименование и назначение удобрения;</w:t>
            </w:r>
          </w:p>
          <w:p>
            <w:pPr>
              <w:spacing w:after="20"/>
              <w:ind w:left="20"/>
              <w:jc w:val="both"/>
            </w:pPr>
            <w:r>
              <w:rPr>
                <w:rFonts w:ascii="Times New Roman"/>
                <w:b w:val="false"/>
                <w:i w:val="false"/>
                <w:color w:val="000000"/>
                <w:sz w:val="20"/>
              </w:rPr>
              <w:t>
2) обозначение нормативного документа, по которому производится удобрение;</w:t>
            </w:r>
          </w:p>
          <w:p>
            <w:pPr>
              <w:spacing w:after="20"/>
              <w:ind w:left="20"/>
              <w:jc w:val="both"/>
            </w:pPr>
            <w:r>
              <w:rPr>
                <w:rFonts w:ascii="Times New Roman"/>
                <w:b w:val="false"/>
                <w:i w:val="false"/>
                <w:color w:val="000000"/>
                <w:sz w:val="20"/>
              </w:rPr>
              <w:t>
3) массовая доля основных питательных элементов, макроэлементов и микроэлементов в процентах;</w:t>
            </w:r>
          </w:p>
          <w:p>
            <w:pPr>
              <w:spacing w:after="20"/>
              <w:ind w:left="20"/>
              <w:jc w:val="both"/>
            </w:pPr>
            <w:r>
              <w:rPr>
                <w:rFonts w:ascii="Times New Roman"/>
                <w:b w:val="false"/>
                <w:i w:val="false"/>
                <w:color w:val="000000"/>
                <w:sz w:val="20"/>
              </w:rPr>
              <w:t>
4) элементы описания опасности (знак опасности, сигнальное слово и краткая характеристика опасности);</w:t>
            </w:r>
          </w:p>
          <w:p>
            <w:pPr>
              <w:spacing w:after="20"/>
              <w:ind w:left="20"/>
              <w:jc w:val="both"/>
            </w:pPr>
            <w:r>
              <w:rPr>
                <w:rFonts w:ascii="Times New Roman"/>
                <w:b w:val="false"/>
                <w:i w:val="false"/>
                <w:color w:val="000000"/>
                <w:sz w:val="20"/>
              </w:rPr>
              <w:t>
5) массу нетто (для твердых удобрений), номинальный объем в таре (для жидких удобрений);</w:t>
            </w:r>
          </w:p>
          <w:p>
            <w:pPr>
              <w:spacing w:after="20"/>
              <w:ind w:left="20"/>
              <w:jc w:val="both"/>
            </w:pPr>
            <w:r>
              <w:rPr>
                <w:rFonts w:ascii="Times New Roman"/>
                <w:b w:val="false"/>
                <w:i w:val="false"/>
                <w:color w:val="000000"/>
                <w:sz w:val="20"/>
              </w:rPr>
              <w:t>
6) наименование и местонахождение (юридический адрес, включая страну) изготовителя;</w:t>
            </w:r>
          </w:p>
          <w:p>
            <w:pPr>
              <w:spacing w:after="20"/>
              <w:ind w:left="20"/>
              <w:jc w:val="both"/>
            </w:pPr>
            <w:r>
              <w:rPr>
                <w:rFonts w:ascii="Times New Roman"/>
                <w:b w:val="false"/>
                <w:i w:val="false"/>
                <w:color w:val="000000"/>
                <w:sz w:val="20"/>
              </w:rPr>
              <w:t>
7) дату производства и номер партии;</w:t>
            </w:r>
          </w:p>
          <w:p>
            <w:pPr>
              <w:spacing w:after="20"/>
              <w:ind w:left="20"/>
              <w:jc w:val="both"/>
            </w:pPr>
            <w:r>
              <w:rPr>
                <w:rFonts w:ascii="Times New Roman"/>
                <w:b w:val="false"/>
                <w:i w:val="false"/>
                <w:color w:val="000000"/>
                <w:sz w:val="20"/>
              </w:rPr>
              <w:t>
8) гарантийный срок хранения или срок годности;</w:t>
            </w:r>
          </w:p>
          <w:p>
            <w:pPr>
              <w:spacing w:after="20"/>
              <w:ind w:left="20"/>
              <w:jc w:val="both"/>
            </w:pPr>
            <w:r>
              <w:rPr>
                <w:rFonts w:ascii="Times New Roman"/>
                <w:b w:val="false"/>
                <w:i w:val="false"/>
                <w:color w:val="000000"/>
                <w:sz w:val="20"/>
              </w:rPr>
              <w:t>
9) условия хранения;</w:t>
            </w:r>
          </w:p>
          <w:p>
            <w:pPr>
              <w:spacing w:after="20"/>
              <w:ind w:left="20"/>
              <w:jc w:val="both"/>
            </w:pPr>
            <w:r>
              <w:rPr>
                <w:rFonts w:ascii="Times New Roman"/>
                <w:b w:val="false"/>
                <w:i w:val="false"/>
                <w:color w:val="000000"/>
                <w:sz w:val="20"/>
              </w:rPr>
              <w:t>
10) рекомендации по применению, а также меры по безопасному применению, хранению и оказанию первой медицинской помощи (для удобрений, предназначенных для розничной торговли);</w:t>
            </w:r>
          </w:p>
          <w:p>
            <w:pPr>
              <w:spacing w:after="20"/>
              <w:ind w:left="20"/>
              <w:jc w:val="both"/>
            </w:pPr>
            <w:r>
              <w:rPr>
                <w:rFonts w:ascii="Times New Roman"/>
                <w:b w:val="false"/>
                <w:i w:val="false"/>
                <w:color w:val="000000"/>
                <w:sz w:val="20"/>
              </w:rPr>
              <w:t>
11) дополнительные инструкции по безопасному обращению с жидкими удобрениями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маркировки из прочного материала и недопущение утраты ее потребительских свойств в результате воздействия факторов окружающей среды.</w:t>
            </w:r>
          </w:p>
          <w:p>
            <w:pPr>
              <w:spacing w:after="20"/>
              <w:ind w:left="20"/>
              <w:jc w:val="both"/>
            </w:pPr>
            <w:r>
              <w:rPr>
                <w:rFonts w:ascii="Times New Roman"/>
                <w:b w:val="false"/>
                <w:i w:val="false"/>
                <w:color w:val="000000"/>
                <w:sz w:val="20"/>
              </w:rPr>
              <w:t>
Для удобрений, поставляемых насыпью, маркировка указывается в сопроводительных документах.</w:t>
            </w:r>
          </w:p>
          <w:p>
            <w:pPr>
              <w:spacing w:after="20"/>
              <w:ind w:left="20"/>
              <w:jc w:val="both"/>
            </w:pPr>
            <w:r>
              <w:rPr>
                <w:rFonts w:ascii="Times New Roman"/>
                <w:b w:val="false"/>
                <w:i w:val="false"/>
                <w:color w:val="000000"/>
                <w:sz w:val="20"/>
              </w:rPr>
              <w:t>
Наличие маркировка на государственном и русском языках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неупакованных удобрений насыпью в крытых железнодорожных вагонах, минераловозами, в закрытых палубных судах и автотранспортом с обязательным их укрытием в кузове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жидких минеральных удобрений (безводного аммиака, аммиачной воды, углеаммиаката, жидких комплексных удобрений) специальным железнодорожным и автомобильным транспортом. Насосы, штуцеры, краны и детали, соприкасающиеся с аммиаком, изготавливаются из материала, устойчивого к агрессивному воздействию аммиака. Применение деталей из бронзы или меди не допускается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емкостей (цистерн, резервуаров) жидкими минеральными удобрениями с учетом объемного расширения продукта при возможном перепаде температур в пути следования. Емкости для транспортировки водного аммиака наполняются не более чем на 93 % от их полной вместимости, а для транспортирования безводного аммиака не более 85 %.</w:t>
            </w:r>
          </w:p>
          <w:p>
            <w:pPr>
              <w:spacing w:after="20"/>
              <w:ind w:left="20"/>
              <w:jc w:val="both"/>
            </w:pPr>
            <w:r>
              <w:rPr>
                <w:rFonts w:ascii="Times New Roman"/>
                <w:b w:val="false"/>
                <w:i w:val="false"/>
                <w:color w:val="000000"/>
                <w:sz w:val="20"/>
              </w:rPr>
              <w:t>
При транспортировке упакованных минеральных удобрений не допускается разрыв тары, пролив или россыпь груза. При повреждении тары принимаются меры по сбору остатков груза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специализированных точках сбыта.</w:t>
            </w:r>
          </w:p>
          <w:p>
            <w:pPr>
              <w:spacing w:after="20"/>
              <w:ind w:left="20"/>
              <w:jc w:val="both"/>
            </w:pPr>
            <w:r>
              <w:rPr>
                <w:rFonts w:ascii="Times New Roman"/>
                <w:b w:val="false"/>
                <w:i w:val="false"/>
                <w:color w:val="000000"/>
                <w:sz w:val="20"/>
              </w:rPr>
              <w:t>
Не допускается реализация удобрений в одном торговом отделе совместно с продуктами питания, лекарственными препаратами и детскими товарами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розничной торговле в упакованном виде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реализации удобрений в розничной продаже с нарушенной упаковкой и маркировкой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изготовителем, уполномоченным изготовителем лицом, импортером при выпуске в обращение продукции полной, необходимой, однозначно понимаемой и достоверной информацией о ней, исключающей ввод в заблуждение потребителей относительно состава, свойств, назначения, изготовителя и уполномоченного изготовителем лица 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информация для потребителя при реализации продукции предоставляется с продукцией в форме текста, условных обозначений и рисунков на упаковке (таре) и этикетке, ярлыке, документах, памятках (листах-вкладышах, информационных листах.</w:t>
            </w:r>
          </w:p>
          <w:p>
            <w:pPr>
              <w:spacing w:after="20"/>
              <w:ind w:left="20"/>
              <w:jc w:val="both"/>
            </w:pPr>
            <w:r>
              <w:rPr>
                <w:rFonts w:ascii="Times New Roman"/>
                <w:b w:val="false"/>
                <w:i w:val="false"/>
                <w:color w:val="000000"/>
                <w:sz w:val="20"/>
              </w:rPr>
              <w:t>
При реализации продукции, информация для потребителя предоставляется изготовителем, уполномоченным изготовителем лицом, импортером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и текст маркировки на государственном и русском языках, с учетом норм правописания государственного и русского языка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информации для потребителя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в четкой и легко читаемой форме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для потребителя о подтверждении соответствия продукции изготовителем, уполномоченным изготовителем лицом, импортером в виде:</w:t>
            </w:r>
          </w:p>
          <w:p>
            <w:pPr>
              <w:spacing w:after="20"/>
              <w:ind w:left="20"/>
              <w:jc w:val="both"/>
            </w:pPr>
            <w:r>
              <w:rPr>
                <w:rFonts w:ascii="Times New Roman"/>
                <w:b w:val="false"/>
                <w:i w:val="false"/>
                <w:color w:val="000000"/>
                <w:sz w:val="20"/>
              </w:rPr>
              <w:t>
знака соответствия (при наличии), нанесенного в соответствии с действующими документами по стандартизации;</w:t>
            </w:r>
          </w:p>
          <w:p>
            <w:pPr>
              <w:spacing w:after="20"/>
              <w:ind w:left="20"/>
              <w:jc w:val="both"/>
            </w:pPr>
            <w:r>
              <w:rPr>
                <w:rFonts w:ascii="Times New Roman"/>
                <w:b w:val="false"/>
                <w:i w:val="false"/>
                <w:color w:val="000000"/>
                <w:sz w:val="20"/>
              </w:rPr>
              <w:t>
сертификата соответствия (копии сертификата соответствия) или декларации соответствия (копии декларации соответствия) в соответствии с Законом, сопровождающего продукцию.</w:t>
            </w:r>
          </w:p>
          <w:p>
            <w:pPr>
              <w:spacing w:after="20"/>
              <w:ind w:left="20"/>
              <w:jc w:val="both"/>
            </w:pPr>
            <w:r>
              <w:rPr>
                <w:rFonts w:ascii="Times New Roman"/>
                <w:b w:val="false"/>
                <w:i w:val="false"/>
                <w:color w:val="000000"/>
                <w:sz w:val="20"/>
              </w:rPr>
              <w:t>
Информацию о подтверждении соответствия неупакованной или нефасованной продукции до потребителя доводит изготовитель и (или) уполномоченное изготовителем лицо и (или) импортер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информации для потребителя о продукции наименования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указания в наименовании продукции нижеследующего:</w:t>
            </w:r>
          </w:p>
          <w:p>
            <w:pPr>
              <w:spacing w:after="20"/>
              <w:ind w:left="20"/>
              <w:jc w:val="both"/>
            </w:pPr>
            <w:r>
              <w:rPr>
                <w:rFonts w:ascii="Times New Roman"/>
                <w:b w:val="false"/>
                <w:i w:val="false"/>
                <w:color w:val="000000"/>
                <w:sz w:val="20"/>
              </w:rPr>
              <w:t>
1) указывать, наименование другой аналогичной продукции;</w:t>
            </w:r>
          </w:p>
          <w:p>
            <w:pPr>
              <w:spacing w:after="20"/>
              <w:ind w:left="20"/>
              <w:jc w:val="both"/>
            </w:pPr>
            <w:r>
              <w:rPr>
                <w:rFonts w:ascii="Times New Roman"/>
                <w:b w:val="false"/>
                <w:i w:val="false"/>
                <w:color w:val="000000"/>
                <w:sz w:val="20"/>
              </w:rPr>
              <w:t>
2) присваивать продукции наименование, вводящее потребителей в заблуждение относительно происхождения (природы)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продукции, об отличительных свойствах продукции, состоянии и специальной обработке (при наличии)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использовании и изготовлении (производстве) продукции обработанного основного ингредиента, соответствующая информация включается в наименование продукции или ее располагают в непосредственной близости от наименования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в продукции составного компонента (состоящего из двух и более компонентов), указывается состав продукции в порядке убывания/уменьшения доли содержания. Если продукция изготовлена (произведена) из двух основных компонентов, допускается указывать их в наименовании продукции, при этом, не указывая их отдельно, как состав (комплект)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наименования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наименованию, зарегистрированному в установленном порядке в стране его местонахождения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регистрационного номера и даты регистрации для продукции, подлежащей государственной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юридический адрес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организации, получившие в установленном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информации для потребителя масса нетто, брутто, основные размеры и объем продукции в метрической системе мер на упаковке (таре)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выбора величины для указания количества упакованной продукции, с учетом следующих правил:</w:t>
            </w:r>
          </w:p>
          <w:p>
            <w:pPr>
              <w:spacing w:after="20"/>
              <w:ind w:left="20"/>
              <w:jc w:val="both"/>
            </w:pPr>
            <w:r>
              <w:rPr>
                <w:rFonts w:ascii="Times New Roman"/>
                <w:b w:val="false"/>
                <w:i w:val="false"/>
                <w:color w:val="000000"/>
                <w:sz w:val="20"/>
              </w:rPr>
              <w:t>
1) если продукция жидкая, то указывается ее объем;</w:t>
            </w:r>
          </w:p>
          <w:p>
            <w:pPr>
              <w:spacing w:after="20"/>
              <w:ind w:left="20"/>
              <w:jc w:val="both"/>
            </w:pPr>
            <w:r>
              <w:rPr>
                <w:rFonts w:ascii="Times New Roman"/>
                <w:b w:val="false"/>
                <w:i w:val="false"/>
                <w:color w:val="000000"/>
                <w:sz w:val="20"/>
              </w:rPr>
              <w:t>
2) если продукция пастообразная, вязкая или вязкопластичной консистенции, то указывается, либо ее объем, либо масса;</w:t>
            </w:r>
          </w:p>
          <w:p>
            <w:pPr>
              <w:spacing w:after="20"/>
              <w:ind w:left="20"/>
              <w:jc w:val="both"/>
            </w:pPr>
            <w:r>
              <w:rPr>
                <w:rFonts w:ascii="Times New Roman"/>
                <w:b w:val="false"/>
                <w:i w:val="false"/>
                <w:color w:val="000000"/>
                <w:sz w:val="20"/>
              </w:rPr>
              <w:t>
3) если продукция твердая, сыпучая, является смесью твердого и жидкого вещества, то указывается ее масса.</w:t>
            </w:r>
          </w:p>
          <w:p>
            <w:pPr>
              <w:spacing w:after="20"/>
              <w:ind w:left="20"/>
              <w:jc w:val="both"/>
            </w:pPr>
            <w:r>
              <w:rPr>
                <w:rFonts w:ascii="Times New Roman"/>
                <w:b w:val="false"/>
                <w:i w:val="false"/>
                <w:color w:val="000000"/>
                <w:sz w:val="20"/>
              </w:rPr>
              <w:t>
Допускается одновременное использование двух величин для указания количества продукции, например масса и количество штук, масса и объем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условий хранения для продукции, требующей специальных условий хранения (пониженной температуры, светового режима)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устанавливание срока годности продукции если продукция имеет период времени, по истечению которого считается небезопасной для использования.</w:t>
            </w:r>
          </w:p>
          <w:p>
            <w:pPr>
              <w:spacing w:after="20"/>
              <w:ind w:left="20"/>
              <w:jc w:val="both"/>
            </w:pPr>
            <w:r>
              <w:rPr>
                <w:rFonts w:ascii="Times New Roman"/>
                <w:b w:val="false"/>
                <w:i w:val="false"/>
                <w:color w:val="000000"/>
                <w:sz w:val="20"/>
              </w:rPr>
              <w:t>
Срок годности, установленный изготовителем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p>
            <w:pPr>
              <w:spacing w:after="20"/>
              <w:ind w:left="20"/>
              <w:jc w:val="both"/>
            </w:pPr>
            <w:r>
              <w:rPr>
                <w:rFonts w:ascii="Times New Roman"/>
                <w:b w:val="false"/>
                <w:i w:val="false"/>
                <w:color w:val="000000"/>
                <w:sz w:val="20"/>
              </w:rPr>
              <w:t>
Срок годности исчисляют с даты изготовления (производства) продукции.</w:t>
            </w:r>
          </w:p>
          <w:p>
            <w:pPr>
              <w:spacing w:after="20"/>
              <w:ind w:left="20"/>
              <w:jc w:val="both"/>
            </w:pPr>
            <w:r>
              <w:rPr>
                <w:rFonts w:ascii="Times New Roman"/>
                <w:b w:val="false"/>
                <w:i w:val="false"/>
                <w:color w:val="000000"/>
                <w:sz w:val="20"/>
              </w:rPr>
              <w:t>
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годности … (часов, дней, месяцев или лет)", "Срок службы... (лет - часов - циклов)".</w:t>
            </w:r>
          </w:p>
          <w:p>
            <w:pPr>
              <w:spacing w:after="20"/>
              <w:ind w:left="20"/>
              <w:jc w:val="both"/>
            </w:pPr>
            <w:r>
              <w:rPr>
                <w:rFonts w:ascii="Times New Roman"/>
                <w:b w:val="false"/>
                <w:i w:val="false"/>
                <w:color w:val="000000"/>
                <w:sz w:val="20"/>
              </w:rPr>
              <w:t>
Если срок годности указывают словами "Годен в течение.... (часов, дней, месяцев или лет)", "Срок годности … (часов, дней, месяцев или лет)", то на этикетку или упаковку (тару) наносится дата изготовления (производства) продукции.</w:t>
            </w:r>
          </w:p>
          <w:p>
            <w:pPr>
              <w:spacing w:after="20"/>
              <w:ind w:left="20"/>
              <w:jc w:val="both"/>
            </w:pPr>
            <w:r>
              <w:rPr>
                <w:rFonts w:ascii="Times New Roman"/>
                <w:b w:val="false"/>
                <w:i w:val="false"/>
                <w:color w:val="000000"/>
                <w:sz w:val="20"/>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требований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p>
            <w:pPr>
              <w:spacing w:after="20"/>
              <w:ind w:left="20"/>
              <w:jc w:val="both"/>
            </w:pPr>
            <w:r>
              <w:rPr>
                <w:rFonts w:ascii="Times New Roman"/>
                <w:b w:val="false"/>
                <w:i w:val="false"/>
                <w:color w:val="000000"/>
                <w:sz w:val="20"/>
              </w:rPr>
              <w:t>
Если упаковка (тара), в которую помещена продукция, покрыта дополнительной упаковкой, то либо этикетка внутренней упаковки легко читаема сквозь наружную упаковку, либо на наружной упаковке аналогичная этикетка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средства нанесения информации для потребителей, контактирующие с продукцией, не влияют на безопасность и качество продукции, обеспечивать стойкость маркировки при хранении, перевозке и реализации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проведения оперативно-розыскных мероприятий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сбора и хранению служебной информации об абонентах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к коммутационному оборудованию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защите средств проведения оперативно-розыскных мероприятий, средств сбора и хранения служебной информации об абонентах от несанкционированного доступа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выпускаемые в обращение на рынки сбыта железобетонные и бетонные конструкции (в том числе импортируемые) обеспечиваются: </w:t>
            </w:r>
          </w:p>
          <w:p>
            <w:pPr>
              <w:spacing w:after="20"/>
              <w:ind w:left="20"/>
              <w:jc w:val="both"/>
            </w:pPr>
            <w:r>
              <w:rPr>
                <w:rFonts w:ascii="Times New Roman"/>
                <w:b w:val="false"/>
                <w:i w:val="false"/>
                <w:color w:val="000000"/>
                <w:sz w:val="20"/>
              </w:rPr>
              <w:t xml:space="preserve">
1) сопроводительной документацией для потребителя (документы, подтверждающие качество в соответствии с технической или нормативной документацией, сертификат соответствия или декларация о соответствии), необходимой для оценки возможных рисков причинения вреда и принятии соответствующих мер безопасности; </w:t>
            </w:r>
          </w:p>
          <w:p>
            <w:pPr>
              <w:spacing w:after="20"/>
              <w:ind w:left="20"/>
              <w:jc w:val="both"/>
            </w:pPr>
            <w:r>
              <w:rPr>
                <w:rFonts w:ascii="Times New Roman"/>
                <w:b w:val="false"/>
                <w:i w:val="false"/>
                <w:color w:val="000000"/>
                <w:sz w:val="20"/>
              </w:rPr>
              <w:t xml:space="preserve">
2) инструкцией по информированию потребителя при выявлении после реализации железобетонных и бетонных конструкций их потенциальной опасности с целью принятия мер безопасности; </w:t>
            </w:r>
          </w:p>
          <w:p>
            <w:pPr>
              <w:spacing w:after="20"/>
              <w:ind w:left="20"/>
              <w:jc w:val="both"/>
            </w:pPr>
            <w:r>
              <w:rPr>
                <w:rFonts w:ascii="Times New Roman"/>
                <w:b w:val="false"/>
                <w:i w:val="false"/>
                <w:color w:val="000000"/>
                <w:sz w:val="20"/>
              </w:rPr>
              <w:t xml:space="preserve">
3) идентифицирующей маркировкой (класс, марка, масса, партия, дата изготовления) непосредственно на изделии или в сопроводительной документации; </w:t>
            </w:r>
          </w:p>
          <w:p>
            <w:pPr>
              <w:spacing w:after="20"/>
              <w:ind w:left="20"/>
              <w:jc w:val="both"/>
            </w:pPr>
            <w:r>
              <w:rPr>
                <w:rFonts w:ascii="Times New Roman"/>
                <w:b w:val="false"/>
                <w:i w:val="false"/>
                <w:color w:val="000000"/>
                <w:sz w:val="20"/>
              </w:rPr>
              <w:t>
4) необходимой технической документацией по применению (монтажу)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и бетонным конструкциямпо наличию предупредительной и идентифицирующей маркировке которая наносится (записывается) в виде текста, символов, пиктограмм. </w:t>
            </w:r>
          </w:p>
          <w:p>
            <w:pPr>
              <w:spacing w:after="20"/>
              <w:ind w:left="20"/>
              <w:jc w:val="both"/>
            </w:pPr>
            <w:r>
              <w:rPr>
                <w:rFonts w:ascii="Times New Roman"/>
                <w:b w:val="false"/>
                <w:i w:val="false"/>
                <w:color w:val="000000"/>
                <w:sz w:val="20"/>
              </w:rPr>
              <w:t xml:space="preserve">
Информация для потребителя четкая и легко читаемая. При этом требования безопасности выделены другим шрифтом, цветом или иным способом. </w:t>
            </w:r>
          </w:p>
          <w:p>
            <w:pPr>
              <w:spacing w:after="20"/>
              <w:ind w:left="20"/>
              <w:jc w:val="both"/>
            </w:pPr>
            <w:r>
              <w:rPr>
                <w:rFonts w:ascii="Times New Roman"/>
                <w:b w:val="false"/>
                <w:i w:val="false"/>
                <w:color w:val="000000"/>
                <w:sz w:val="20"/>
              </w:rPr>
              <w:t>
Средства нанесения информации обеспечивать стойкость маркировки при хранении, транспортировке, использовании для строительства зданий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безопасности к железобетонным и бетонным конструкциям по наличию таких начальных характеристик, чтобы при различных расчетных нагрузках и воздействиях в процессе строительства и эксплуатации зданий и сооружений были исключены разрушения любого характера, связанные с риском причинения вреда жизни или здоровью граждан, имуществу, окружающей среде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конструкциям согласно которым безопасность железобетонных и бетонных конструкций осуществляется в соответствии с заданием на проектирование, нормативно-технической и нормативной документацией и обеспечена выполнением: </w:t>
            </w:r>
          </w:p>
          <w:p>
            <w:pPr>
              <w:spacing w:after="20"/>
              <w:ind w:left="20"/>
              <w:jc w:val="both"/>
            </w:pPr>
            <w:r>
              <w:rPr>
                <w:rFonts w:ascii="Times New Roman"/>
                <w:b w:val="false"/>
                <w:i w:val="false"/>
                <w:color w:val="000000"/>
                <w:sz w:val="20"/>
              </w:rPr>
              <w:t xml:space="preserve">
1) требований к бетону и его составляющим; </w:t>
            </w:r>
          </w:p>
          <w:p>
            <w:pPr>
              <w:spacing w:after="20"/>
              <w:ind w:left="20"/>
              <w:jc w:val="both"/>
            </w:pPr>
            <w:r>
              <w:rPr>
                <w:rFonts w:ascii="Times New Roman"/>
                <w:b w:val="false"/>
                <w:i w:val="false"/>
                <w:color w:val="000000"/>
                <w:sz w:val="20"/>
              </w:rPr>
              <w:t xml:space="preserve">
2) требований к арматуре; </w:t>
            </w:r>
          </w:p>
          <w:p>
            <w:pPr>
              <w:spacing w:after="20"/>
              <w:ind w:left="20"/>
              <w:jc w:val="both"/>
            </w:pPr>
            <w:r>
              <w:rPr>
                <w:rFonts w:ascii="Times New Roman"/>
                <w:b w:val="false"/>
                <w:i w:val="false"/>
                <w:color w:val="000000"/>
                <w:sz w:val="20"/>
              </w:rPr>
              <w:t xml:space="preserve">
3) требований к расчетам конструкций; </w:t>
            </w:r>
          </w:p>
          <w:p>
            <w:pPr>
              <w:spacing w:after="20"/>
              <w:ind w:left="20"/>
              <w:jc w:val="both"/>
            </w:pPr>
            <w:r>
              <w:rPr>
                <w:rFonts w:ascii="Times New Roman"/>
                <w:b w:val="false"/>
                <w:i w:val="false"/>
                <w:color w:val="000000"/>
                <w:sz w:val="20"/>
              </w:rPr>
              <w:t xml:space="preserve">
4) конструктивных требований; </w:t>
            </w:r>
          </w:p>
          <w:p>
            <w:pPr>
              <w:spacing w:after="20"/>
              <w:ind w:left="20"/>
              <w:jc w:val="both"/>
            </w:pPr>
            <w:r>
              <w:rPr>
                <w:rFonts w:ascii="Times New Roman"/>
                <w:b w:val="false"/>
                <w:i w:val="false"/>
                <w:color w:val="000000"/>
                <w:sz w:val="20"/>
              </w:rPr>
              <w:t xml:space="preserve">
5) технологических требований; </w:t>
            </w:r>
          </w:p>
          <w:p>
            <w:pPr>
              <w:spacing w:after="20"/>
              <w:ind w:left="20"/>
              <w:jc w:val="both"/>
            </w:pPr>
            <w:r>
              <w:rPr>
                <w:rFonts w:ascii="Times New Roman"/>
                <w:b w:val="false"/>
                <w:i w:val="false"/>
                <w:color w:val="000000"/>
                <w:sz w:val="20"/>
              </w:rPr>
              <w:t xml:space="preserve">
6) требований по использованию; </w:t>
            </w:r>
          </w:p>
          <w:p>
            <w:pPr>
              <w:spacing w:after="20"/>
              <w:ind w:left="20"/>
              <w:jc w:val="both"/>
            </w:pPr>
            <w:r>
              <w:rPr>
                <w:rFonts w:ascii="Times New Roman"/>
                <w:b w:val="false"/>
                <w:i w:val="false"/>
                <w:color w:val="000000"/>
                <w:sz w:val="20"/>
              </w:rPr>
              <w:t xml:space="preserve">
7) требований по хранению, транспортированию, монтажу и эксплуатации.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железобетонным конструкциям по отсутствию трещин, у которых при полностью растянутом сечении обеспечена непроницаемость (находящихся под давлением жидкости или газов, испытывающих воздействие радиации), к уникальным конструкциям, к которым предъявляют повышенные требования по долговечности, а также к конструкциям, эксплуатируемым при воздействии сильно агрессивной среды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долговечности железобетонных и бетонных конструкций с начальными характеристиками, в течение установленного времени удовлетворяющих требования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(длительное действие нагрузки, неблагоприятные климатические, технологические, температурные и влажностные воздействия, попеременное замораживание и оттаивание, агрессивные воздействия)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оценке прочности, жесткости и трещиностойкости железобетонных и бетонных конструкций осуществляемой по результатам испытаний на основании сопоставления фактических значений разрушающей нагрузки, прогиба и ширины раскрытия трещин под контрольной нагрузкой с соответствующими контрольными значениями, установленными в проектной документации на изделие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обеспечению безопасности железобетонных конструкций применительно к арматуре и бетону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пожарной безопасности и огнестойкости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радиационной 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термической безопасности и взрывобезопасности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хранении и транспортировке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использовании железобетонных и бетонных конструкций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железобетонных конструкций, применяемых для строительства в сейсмических районах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производстве, транспортировании, хранении и применении дорожно-строительных материалов и изделий надежности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 климатических и иных факторов в условиях, исключающих следующие последствия:</w:t>
            </w:r>
          </w:p>
          <w:p>
            <w:pPr>
              <w:spacing w:after="20"/>
              <w:ind w:left="20"/>
              <w:jc w:val="both"/>
            </w:pPr>
            <w:r>
              <w:rPr>
                <w:rFonts w:ascii="Times New Roman"/>
                <w:b w:val="false"/>
                <w:i w:val="false"/>
                <w:color w:val="000000"/>
                <w:sz w:val="20"/>
              </w:rPr>
              <w:t>
а) разрушение автомобильной дороги или сооружений, или их участков (частей);</w:t>
            </w:r>
          </w:p>
          <w:p>
            <w:pPr>
              <w:spacing w:after="20"/>
              <w:ind w:left="20"/>
              <w:jc w:val="both"/>
            </w:pPr>
            <w:r>
              <w:rPr>
                <w:rFonts w:ascii="Times New Roman"/>
                <w:b w:val="false"/>
                <w:i w:val="false"/>
                <w:color w:val="000000"/>
                <w:sz w:val="20"/>
              </w:rPr>
              <w:t>
б) необратимые деформации дорожных конструкций;</w:t>
            </w:r>
          </w:p>
          <w:p>
            <w:pPr>
              <w:spacing w:after="20"/>
              <w:ind w:left="20"/>
              <w:jc w:val="both"/>
            </w:pPr>
            <w:r>
              <w:rPr>
                <w:rFonts w:ascii="Times New Roman"/>
                <w:b w:val="false"/>
                <w:i w:val="false"/>
                <w:color w:val="000000"/>
                <w:sz w:val="20"/>
              </w:rPr>
              <w:t>
в) недопустимое снижение основных транспортно-эксплуатационных характеристик автомобильной дороги или сооружений на 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суммарной эффективной удельной активностью естественных радионуклидов превышения допустимых пределов,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предельной концентрацией вредных химических веществ при производстве, хранении, транспортировании, применении дорожно-строительных материалов и изделий, проведении дорожных работах, а также в результате их совместного воздействия на окружающую среду в процессе эксплуатации автомобильной дороги превышения допустимых значений,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физико-химическими свойствами дорожно-строительных материалов и изделий угрозы возникновения взрыва и (или) развития пожара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физико-механических свойств дорожно-строительных материалов расчетной устойчивостью конструктивных элементов автомобильной дороги при совместном воздействии транспортной нагрузки и природных факторов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строительства, реконструкции, капитального ремонта и эксплуатации автомобильных дорог и дорожных сооружений на них с применением дорожно-строительных материалов и изделий, с подтверждением соответствия и проектной документации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официальных сообщений на интернет ресурсах государственных органов, в средствах массовой информации о нарушениях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о нарушениях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физических и юридических лиц, обладающих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для отбора субъектов (объектов)</w:t>
            </w:r>
            <w:r>
              <w:br/>
            </w:r>
            <w:r>
              <w:rPr>
                <w:rFonts w:ascii="Times New Roman"/>
                <w:b w:val="false"/>
                <w:i w:val="false"/>
                <w:color w:val="000000"/>
                <w:sz w:val="20"/>
              </w:rPr>
              <w:t>контроля и надзора в области</w:t>
            </w:r>
            <w:r>
              <w:br/>
            </w:r>
            <w:r>
              <w:rPr>
                <w:rFonts w:ascii="Times New Roman"/>
                <w:b w:val="false"/>
                <w:i w:val="false"/>
                <w:color w:val="000000"/>
                <w:sz w:val="20"/>
              </w:rPr>
              <w:t>технического регулирования</w:t>
            </w:r>
          </w:p>
        </w:tc>
      </w:tr>
    </w:tbl>
    <w:bookmarkStart w:name="z1334" w:id="157"/>
    <w:p>
      <w:pPr>
        <w:spacing w:after="0"/>
        <w:ind w:left="0"/>
        <w:jc w:val="left"/>
      </w:pPr>
      <w:r>
        <w:rPr>
          <w:rFonts w:ascii="Times New Roman"/>
          <w:b/>
          <w:i w:val="false"/>
          <w:color w:val="000000"/>
        </w:rPr>
        <w:t xml:space="preserve"> Субъективные критерии в области технического регулирования в отношении органа по подтверждению соответствия и испытательной лаборатории (центра)</w:t>
      </w:r>
    </w:p>
    <w:bookmarkEnd w:id="1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предыдущих проверок и профилактического контроля с посещением субъектов (объектов) контроля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рассмотрения органом по подтверждению соответствия заявки с прилагаемыми документами и принятие по ней решения, в том числе утверждение схемы сертификации продукции, на основании выбранной заявителем схемы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договора на проведение работ по сертификации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обеспечения идентификации, отбора образцов и их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проведения анализа состояния производства (если это предусмотрено схемой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проведения анализа полученных результатов и принятие решения о выдаче (об отказе в выдаче) сертификата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 органа по подтверждению соответствия регистрации сертификата соответствия в реестре технического регулирования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формирования и выдачи сертификата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органом по подтверждению соответствия осуществления периодической оценки за сертифицированной продукцией (если это предусмотрено схемой сертификации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регистрации декларации о соответствии в реестре технического регулирования посредством информационной системы технического регулирования, либо уведомление заявителя об отказе в ее регистрации (с указанием причин отказа) в срок, не превышающий 5 (пять) рабочих дней со дня получения декларации о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органом по подтверждению соответствия декларации о соответствии на срок, установленный предприятием-изготовителем (исполнителем) продукции, исходя из планируемого срока выпуска данной продукции, но не более чем на 1 (один)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органом по подтверждению соответствия хранения декларации о соответствии и материалов, используемых в качестве доказательств для подтверждения соответствия в информационной системе технического регулирования на постоянной основе в течение 3 (трех) лет со дня окончания ее срока действия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органом по подтверждению соответствия в реестр технического регулирования БИН, наименования и адреса заявителя, принявшего декларацию о соответствии, регистрационного номера декларации о соответствии и вида продукции, соответствие которой подтверждено и срока действия декларации о соответствии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приложения к декларации о соответствии, содержащее перечень продукции, на которую распространяется ее действие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испытательной лабораторией (центром) испытаний объектов для целей обязательного или добровольного подтверждения соответствия в пределах своей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испытательной лабораторией (центром) достоверности результатов испытаний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испытательной лабораторией (центром) оформления и выдачи результатов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фото- и (или) видеофиксации испытаний, результатов исследований (испытаний) и измерений продукции, если это предусмотрено техническим регламентом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сохраненных контрольных образцов исследованной (испытанной)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испытательной лабораторией (центром) испытаний в сроки, предусмотренные техническими регламентами и (или) документами по стандартизации, на методы испытаний данного объекта и согласованные с органом по подтверждению соответствия.</w:t>
            </w:r>
          </w:p>
          <w:p>
            <w:pPr>
              <w:spacing w:after="20"/>
              <w:ind w:left="20"/>
              <w:jc w:val="both"/>
            </w:pPr>
            <w:r>
              <w:rPr>
                <w:rFonts w:ascii="Times New Roman"/>
                <w:b w:val="false"/>
                <w:i w:val="false"/>
                <w:color w:val="000000"/>
                <w:sz w:val="20"/>
              </w:rPr>
              <w:t>
В случае если сроки испытаний не предусмотрены в технических регламентах и (или) документах по стандартизации, то не допускается превышение 30 (тридцати) календарных дней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на праве собственности или ином законном основании и использование лаборатории, обеспечивающей испытания объектов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лаборатории на праве собственности или на ином законном основании и использование лабораторного оборудования, объем (перечень) которого в отдельных отраслях устанавливается уполномоченным органом в области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в области технического регулирования в отношении органа по подтверждению соответствия и испытательной лаборатории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в области технического в отношении органа по подтверждению соответствия и испытательной лаборатории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официальных сообщений на интернет ресурсах государственных органов, в средствах массовой информации о нарушениях в области технического регулирования в отношении органа по подтверждению соответствия и испытательной лаборатории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о нарушениях в области технического регулирования в отношении органа по подтверждению соответствия и испытательной лаборатории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p>
      <w:pPr>
        <w:spacing w:after="0"/>
        <w:ind w:left="0"/>
        <w:jc w:val="both"/>
      </w:pPr>
      <w:bookmarkStart w:name="z1336" w:id="158"/>
      <w:r>
        <w:rPr>
          <w:rFonts w:ascii="Times New Roman"/>
          <w:b w:val="false"/>
          <w:i w:val="false"/>
          <w:color w:val="000000"/>
          <w:sz w:val="28"/>
        </w:rPr>
        <w:t>
      Примечание: расшифровка аббревиатуры:</w:t>
      </w:r>
    </w:p>
    <w:bookmarkEnd w:id="158"/>
    <w:p>
      <w:pPr>
        <w:spacing w:after="0"/>
        <w:ind w:left="0"/>
        <w:jc w:val="both"/>
      </w:pPr>
      <w:r>
        <w:rPr>
          <w:rFonts w:ascii="Times New Roman"/>
          <w:b w:val="false"/>
          <w:i w:val="false"/>
          <w:color w:val="000000"/>
          <w:sz w:val="28"/>
        </w:rPr>
        <w:t>СТ РК – Национальный стандарт Республики Казахстан;</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0 С - градусы;</w:t>
      </w:r>
    </w:p>
    <w:p>
      <w:pPr>
        <w:spacing w:after="0"/>
        <w:ind w:left="0"/>
        <w:jc w:val="both"/>
      </w:pPr>
      <w:r>
        <w:rPr>
          <w:rFonts w:ascii="Times New Roman"/>
          <w:b w:val="false"/>
          <w:i w:val="false"/>
          <w:color w:val="000000"/>
          <w:sz w:val="28"/>
        </w:rPr>
        <w:t xml:space="preserve">мг/кг - миллиграмм килограмм; </w:t>
      </w:r>
    </w:p>
    <w:p>
      <w:pPr>
        <w:spacing w:after="0"/>
        <w:ind w:left="0"/>
        <w:jc w:val="both"/>
      </w:pPr>
      <w:r>
        <w:rPr>
          <w:rFonts w:ascii="Times New Roman"/>
          <w:b w:val="false"/>
          <w:i w:val="false"/>
          <w:color w:val="000000"/>
          <w:sz w:val="28"/>
        </w:rPr>
        <w:t xml:space="preserve">мм - миллиметр; </w:t>
      </w:r>
    </w:p>
    <w:p>
      <w:pPr>
        <w:spacing w:after="0"/>
        <w:ind w:left="0"/>
        <w:jc w:val="both"/>
      </w:pPr>
      <w:r>
        <w:rPr>
          <w:rFonts w:ascii="Times New Roman"/>
          <w:b w:val="false"/>
          <w:i w:val="false"/>
          <w:color w:val="000000"/>
          <w:sz w:val="28"/>
        </w:rPr>
        <w:t>DN - номинальный диаметр;</w:t>
      </w:r>
    </w:p>
    <w:p>
      <w:pPr>
        <w:spacing w:after="0"/>
        <w:ind w:left="0"/>
        <w:jc w:val="both"/>
      </w:pPr>
      <w:r>
        <w:rPr>
          <w:rFonts w:ascii="Times New Roman"/>
          <w:b w:val="false"/>
          <w:i w:val="false"/>
          <w:color w:val="000000"/>
          <w:sz w:val="28"/>
        </w:rPr>
        <w:t>PN - номинальное давление;</w:t>
      </w:r>
    </w:p>
    <w:p>
      <w:pPr>
        <w:spacing w:after="0"/>
        <w:ind w:left="0"/>
        <w:jc w:val="both"/>
      </w:pPr>
      <w:r>
        <w:rPr>
          <w:rFonts w:ascii="Times New Roman"/>
          <w:b w:val="false"/>
          <w:i w:val="false"/>
          <w:color w:val="000000"/>
          <w:sz w:val="28"/>
        </w:rPr>
        <w:t>Pp - рабочее давление;</w:t>
      </w:r>
    </w:p>
    <w:p>
      <w:pPr>
        <w:spacing w:after="0"/>
        <w:ind w:left="0"/>
        <w:jc w:val="both"/>
      </w:pPr>
      <w:r>
        <w:rPr>
          <w:rFonts w:ascii="Times New Roman"/>
          <w:b w:val="false"/>
          <w:i w:val="false"/>
          <w:color w:val="000000"/>
          <w:sz w:val="28"/>
        </w:rPr>
        <w:t>Мпа - мегапаскаль;</w:t>
      </w:r>
    </w:p>
    <w:p>
      <w:pPr>
        <w:spacing w:after="0"/>
        <w:ind w:left="0"/>
        <w:jc w:val="both"/>
      </w:pPr>
      <w:r>
        <w:rPr>
          <w:rFonts w:ascii="Times New Roman"/>
          <w:b w:val="false"/>
          <w:i w:val="false"/>
          <w:color w:val="000000"/>
          <w:sz w:val="28"/>
        </w:rPr>
        <w:t>кгс/см</w:t>
      </w:r>
      <w:r>
        <w:rPr>
          <w:rFonts w:ascii="Times New Roman"/>
          <w:b w:val="false"/>
          <w:i w:val="false"/>
          <w:color w:val="000000"/>
          <w:vertAlign w:val="superscript"/>
        </w:rPr>
        <w:t>2</w:t>
      </w:r>
      <w:r>
        <w:rPr>
          <w:rFonts w:ascii="Times New Roman"/>
          <w:b w:val="false"/>
          <w:i w:val="false"/>
          <w:color w:val="000000"/>
          <w:sz w:val="28"/>
        </w:rPr>
        <w:t>- килограмм на квадратный сантиметр;</w:t>
      </w:r>
    </w:p>
    <w:p>
      <w:pPr>
        <w:spacing w:after="0"/>
        <w:ind w:left="0"/>
        <w:jc w:val="both"/>
      </w:pPr>
      <w:r>
        <w:rPr>
          <w:rFonts w:ascii="Times New Roman"/>
          <w:b w:val="false"/>
          <w:i w:val="false"/>
          <w:color w:val="000000"/>
          <w:sz w:val="28"/>
        </w:rPr>
        <w:t>л - литр;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-квадратный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/ч- кубический метр в час;</w:t>
      </w:r>
    </w:p>
    <w:p>
      <w:pPr>
        <w:spacing w:after="0"/>
        <w:ind w:left="0"/>
        <w:jc w:val="both"/>
      </w:pPr>
      <w:r>
        <w:rPr>
          <w:rFonts w:ascii="Times New Roman"/>
          <w:b w:val="false"/>
          <w:i w:val="false"/>
          <w:color w:val="000000"/>
          <w:sz w:val="28"/>
        </w:rPr>
        <w:t>кВт - киловатт-час;</w:t>
      </w:r>
    </w:p>
    <w:p>
      <w:pPr>
        <w:spacing w:after="0"/>
        <w:ind w:left="0"/>
        <w:jc w:val="both"/>
      </w:pPr>
      <w:r>
        <w:rPr>
          <w:rFonts w:ascii="Times New Roman"/>
          <w:b w:val="false"/>
          <w:i w:val="false"/>
          <w:color w:val="000000"/>
          <w:sz w:val="28"/>
        </w:rPr>
        <w:t>т/ч - метрическая единица измерения массовой скорости потока;</w:t>
      </w:r>
    </w:p>
    <w:p>
      <w:pPr>
        <w:spacing w:after="0"/>
        <w:ind w:left="0"/>
        <w:jc w:val="both"/>
      </w:pPr>
      <w:r>
        <w:rPr>
          <w:rFonts w:ascii="Times New Roman"/>
          <w:b w:val="false"/>
          <w:i w:val="false"/>
          <w:color w:val="000000"/>
          <w:sz w:val="28"/>
        </w:rPr>
        <w:t>МДж/кг - мегаджоуль;</w:t>
      </w:r>
    </w:p>
    <w:p>
      <w:pPr>
        <w:spacing w:after="0"/>
        <w:ind w:left="0"/>
        <w:jc w:val="both"/>
      </w:pPr>
      <w:r>
        <w:rPr>
          <w:rFonts w:ascii="Times New Roman"/>
          <w:b w:val="false"/>
          <w:i w:val="false"/>
          <w:color w:val="000000"/>
          <w:sz w:val="28"/>
        </w:rPr>
        <w:t>ккал/кг - теплота сгорания;</w:t>
      </w:r>
    </w:p>
    <w:p>
      <w:pPr>
        <w:spacing w:after="0"/>
        <w:ind w:left="0"/>
        <w:jc w:val="both"/>
      </w:pPr>
      <w:r>
        <w:rPr>
          <w:rFonts w:ascii="Times New Roman"/>
          <w:b w:val="false"/>
          <w:i w:val="false"/>
          <w:color w:val="000000"/>
          <w:sz w:val="28"/>
        </w:rPr>
        <w:t>рН – водородный показатель.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w:t>
            </w:r>
            <w:r>
              <w:br/>
            </w:r>
            <w:r>
              <w:rPr>
                <w:rFonts w:ascii="Times New Roman"/>
                <w:b w:val="false"/>
                <w:i w:val="false"/>
                <w:color w:val="000000"/>
                <w:sz w:val="20"/>
              </w:rPr>
              <w:t>№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339" w:id="159"/>
    <w:p>
      <w:pPr>
        <w:spacing w:after="0"/>
        <w:ind w:left="0"/>
        <w:jc w:val="left"/>
      </w:pPr>
      <w:r>
        <w:rPr>
          <w:rFonts w:ascii="Times New Roman"/>
          <w:b/>
          <w:i w:val="false"/>
          <w:color w:val="000000"/>
        </w:rPr>
        <w:t xml:space="preserve"> Проверочный лист в области технического регулирования в отношении изготовителя государственных символов Республики Казахстан</w:t>
      </w:r>
    </w:p>
    <w:bookmarkEnd w:id="159"/>
    <w:p>
      <w:pPr>
        <w:spacing w:after="0"/>
        <w:ind w:left="0"/>
        <w:jc w:val="both"/>
      </w:pPr>
      <w:bookmarkStart w:name="z1340" w:id="160"/>
      <w:r>
        <w:rPr>
          <w:rFonts w:ascii="Times New Roman"/>
          <w:b w:val="false"/>
          <w:i w:val="false"/>
          <w:color w:val="000000"/>
          <w:sz w:val="28"/>
        </w:rPr>
        <w:t>
      Государственный орган, назначивший проверку/</w:t>
      </w:r>
    </w:p>
    <w:bookmarkEnd w:id="160"/>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 ____________________________________</w:t>
      </w:r>
    </w:p>
    <w:p>
      <w:pPr>
        <w:spacing w:after="0"/>
        <w:ind w:left="0"/>
        <w:jc w:val="both"/>
      </w:pPr>
      <w:r>
        <w:rPr>
          <w:rFonts w:ascii="Times New Roman"/>
          <w:b w:val="false"/>
          <w:i w:val="false"/>
          <w:color w:val="000000"/>
          <w:sz w:val="28"/>
        </w:rPr>
        <w:t>Акт о назначении 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 дата 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 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Флага национальному стандарту СТ РК 988</w:t>
            </w:r>
          </w:p>
          <w:p>
            <w:pPr>
              <w:spacing w:after="20"/>
              <w:ind w:left="20"/>
              <w:jc w:val="both"/>
            </w:pPr>
            <w:r>
              <w:rPr>
                <w:rFonts w:ascii="Times New Roman"/>
                <w:b w:val="false"/>
                <w:i w:val="false"/>
                <w:color w:val="000000"/>
                <w:sz w:val="20"/>
              </w:rPr>
              <w:t>
"Государственный Флаг Республики Казахстан. Общие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Государственного Герба национальному стандарту СТ РК 989 "Государственный Герб Республики Казахстан. Технические условия"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2" w:id="161"/>
      <w:r>
        <w:rPr>
          <w:rFonts w:ascii="Times New Roman"/>
          <w:b w:val="false"/>
          <w:i w:val="false"/>
          <w:color w:val="000000"/>
          <w:sz w:val="28"/>
        </w:rPr>
        <w:t>
      Должностное (ые) лицо (а)</w:t>
      </w:r>
    </w:p>
    <w:bookmarkEnd w:id="161"/>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 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345" w:id="162"/>
    <w:p>
      <w:pPr>
        <w:spacing w:after="0"/>
        <w:ind w:left="0"/>
        <w:jc w:val="left"/>
      </w:pPr>
      <w:r>
        <w:rPr>
          <w:rFonts w:ascii="Times New Roman"/>
          <w:b/>
          <w:i w:val="false"/>
          <w:color w:val="000000"/>
        </w:rPr>
        <w:t xml:space="preserve"> Проверочный лист в области технического регулирования в отношении учебных центров</w:t>
      </w:r>
    </w:p>
    <w:bookmarkEnd w:id="162"/>
    <w:p>
      <w:pPr>
        <w:spacing w:after="0"/>
        <w:ind w:left="0"/>
        <w:jc w:val="both"/>
      </w:pPr>
      <w:bookmarkStart w:name="z1346" w:id="163"/>
      <w:r>
        <w:rPr>
          <w:rFonts w:ascii="Times New Roman"/>
          <w:b w:val="false"/>
          <w:i w:val="false"/>
          <w:color w:val="000000"/>
          <w:sz w:val="28"/>
        </w:rPr>
        <w:t>
      Государственный орган, назначивший проверку/</w:t>
      </w:r>
    </w:p>
    <w:bookmarkEnd w:id="163"/>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 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 дата 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 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w:t>
            </w:r>
          </w:p>
          <w:p>
            <w:pPr>
              <w:spacing w:after="20"/>
              <w:ind w:left="20"/>
              <w:jc w:val="both"/>
            </w:pPr>
            <w:r>
              <w:rPr>
                <w:rFonts w:ascii="Times New Roman"/>
                <w:b w:val="false"/>
                <w:i w:val="false"/>
                <w:color w:val="000000"/>
                <w:sz w:val="20"/>
              </w:rPr>
              <w:t>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w:t>
            </w:r>
          </w:p>
          <w:p>
            <w:pPr>
              <w:spacing w:after="20"/>
              <w:ind w:left="20"/>
              <w:jc w:val="both"/>
            </w:pPr>
            <w:r>
              <w:rPr>
                <w:rFonts w:ascii="Times New Roman"/>
                <w:b w:val="false"/>
                <w:i w:val="false"/>
                <w:color w:val="000000"/>
                <w:sz w:val="20"/>
              </w:rPr>
              <w:t>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w:t>
            </w:r>
          </w:p>
          <w:p>
            <w:pPr>
              <w:spacing w:after="20"/>
              <w:ind w:left="20"/>
              <w:jc w:val="both"/>
            </w:pPr>
            <w:r>
              <w:rPr>
                <w:rFonts w:ascii="Times New Roman"/>
                <w:b w:val="false"/>
                <w:i w:val="false"/>
                <w:color w:val="000000"/>
                <w:sz w:val="20"/>
              </w:rPr>
              <w:t>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подготовки и повышения квалификации экспертов-аудиторов по подтверждению соответствия, определению страны происхождения товара, статуса товара Евразийского экономического союза или иностранного товара осуществляется в форме квалификационных курсов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официально изданных нормативных, справочных и учебно-методических документов, включенных в учебные планы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учебных планов по каждому квалификационному курсу, в том числе лекции, практических занятий (при необходимости), предназначенных к обязательному усвоению знаний в области технического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преподавательского состава, осуществляющего подготовку и повышение квалификации слушателей в соответствии с учебным планом, в зависимости от области обучения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учебным центром уполномоченного органа о внесенных изменениях, при изменении в учебных планах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учебным центром уполномоченного органа, при прекращении своей деятельности в течение 10 (десяти) календарных дней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48" w:id="164"/>
      <w:r>
        <w:rPr>
          <w:rFonts w:ascii="Times New Roman"/>
          <w:b w:val="false"/>
          <w:i w:val="false"/>
          <w:color w:val="000000"/>
          <w:sz w:val="28"/>
        </w:rPr>
        <w:t>
      Должностное (ые) лицо (а)</w:t>
      </w:r>
    </w:p>
    <w:bookmarkEnd w:id="164"/>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 _________________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351" w:id="165"/>
    <w:p>
      <w:pPr>
        <w:spacing w:after="0"/>
        <w:ind w:left="0"/>
        <w:jc w:val="left"/>
      </w:pPr>
      <w:r>
        <w:rPr>
          <w:rFonts w:ascii="Times New Roman"/>
          <w:b/>
          <w:i w:val="false"/>
          <w:color w:val="000000"/>
        </w:rPr>
        <w:t xml:space="preserve"> Проверочный лист в области технического регулирования в отношении органа, уполномоченного на выдачу сертификата о происхождении товара и сертификата о происхождении товара для внутреннего обращения, об определении статуса товара Евразийского экономического союза или иностранного товара</w:t>
      </w:r>
    </w:p>
    <w:bookmarkEnd w:id="165"/>
    <w:p>
      <w:pPr>
        <w:spacing w:after="0"/>
        <w:ind w:left="0"/>
        <w:jc w:val="both"/>
      </w:pPr>
      <w:bookmarkStart w:name="z1352" w:id="166"/>
      <w:r>
        <w:rPr>
          <w:rFonts w:ascii="Times New Roman"/>
          <w:b w:val="false"/>
          <w:i w:val="false"/>
          <w:color w:val="000000"/>
          <w:sz w:val="28"/>
        </w:rPr>
        <w:t>
      Государственный орган, назначивший проверку/</w:t>
      </w:r>
    </w:p>
    <w:bookmarkEnd w:id="166"/>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 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 дата</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 __________________________________</w:t>
      </w:r>
    </w:p>
    <w:p>
      <w:pPr>
        <w:spacing w:after="0"/>
        <w:ind w:left="0"/>
        <w:jc w:val="both"/>
      </w:pPr>
      <w:r>
        <w:rPr>
          <w:rFonts w:ascii="Times New Roman"/>
          <w:b w:val="false"/>
          <w:i w:val="false"/>
          <w:color w:val="000000"/>
          <w:sz w:val="28"/>
        </w:rPr>
        <w:t>_________________________________ _____________________________</w:t>
      </w:r>
    </w:p>
    <w:p>
      <w:pPr>
        <w:spacing w:after="0"/>
        <w:ind w:left="0"/>
        <w:jc w:val="both"/>
      </w:pPr>
      <w:r>
        <w:rPr>
          <w:rFonts w:ascii="Times New Roman"/>
          <w:b w:val="false"/>
          <w:i w:val="false"/>
          <w:color w:val="000000"/>
          <w:sz w:val="28"/>
        </w:rPr>
        <w:t>Адрес место нахождения_________________________________________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об оформлении сертификата о происхождении товара в произвольной форме, перед оформлением сертификата о происхождении товара формы "CT-KZ" составленное уполномоченным лицом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экспортируемого, реэкспортируемого из Республики Казахстан не позднее 1 (одного) рабочего дня, за исключением, когда выдача осуществляется не позднее 3 (трех) рабочих дней, следующих за днем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сертификата о происхождении товара формы "СТ-KZ" или письменного мотивированного решения об отказе в его выдаче не позднее 3 (трех) рабочих дней в электронной форме посредством информационной системы уполномоченной организации посредством информационной системы уполномоченной организации, наделенная правом оформления, удостоверения и выдачи сертификата о происхождении товара (далее – уполномоченная организация)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физического или юридического лица на получение сертификата о происхождении товара, экспортируемого, реэкспортируемого из Республики Казахстан, об определении статуса товара Евразийского экономического союза или иностранного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подтверждающих документов об изготовителе товара (наименование с указанием республики Союза Советских Социалистических Республик и почтового адреса) и года изготовления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транспортных документов, при экспортировании товара в страны государств-членов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следующих документов при проведении экспертизы происхождения товара совместно с заявкой на проведение экспертизы происхождения товара для внутреннего обращения:</w:t>
            </w:r>
          </w:p>
          <w:p>
            <w:pPr>
              <w:spacing w:after="20"/>
              <w:ind w:left="20"/>
              <w:jc w:val="both"/>
            </w:pPr>
            <w:r>
              <w:rPr>
                <w:rFonts w:ascii="Times New Roman"/>
                <w:b w:val="false"/>
                <w:i w:val="false"/>
                <w:color w:val="000000"/>
                <w:sz w:val="20"/>
              </w:rPr>
              <w:t>
1) документы, подтверждающие юридический статус заявителя (для юридических лиц - справка о государственной регистрации (перерегистрации) юридического лица, справка об учетной регистрации филиала или представительства юридического лица, положение о филиале или представительстве юридического лица, для индивидуальных предпринимателей – документ подтверждающий постановку физического лица на регистрационный учет в качестве лица, занимающегося частной практикой) предоставляются 1 (один) раз в год;</w:t>
            </w:r>
          </w:p>
          <w:p>
            <w:pPr>
              <w:spacing w:after="20"/>
              <w:ind w:left="20"/>
              <w:jc w:val="both"/>
            </w:pPr>
            <w:r>
              <w:rPr>
                <w:rFonts w:ascii="Times New Roman"/>
                <w:b w:val="false"/>
                <w:i w:val="false"/>
                <w:color w:val="000000"/>
                <w:sz w:val="20"/>
              </w:rPr>
              <w:t>
2) документы, подтверждающие приобретение товара (когда заявитель не является производителем заявленного товара) - договор с производителем товара или на приобретение товара, накладные, счета-фактуры;</w:t>
            </w:r>
          </w:p>
          <w:p>
            <w:pPr>
              <w:spacing w:after="20"/>
              <w:ind w:left="20"/>
              <w:jc w:val="both"/>
            </w:pPr>
            <w:r>
              <w:rPr>
                <w:rFonts w:ascii="Times New Roman"/>
                <w:b w:val="false"/>
                <w:i w:val="false"/>
                <w:color w:val="000000"/>
                <w:sz w:val="20"/>
              </w:rPr>
              <w:t>
документы для определения критерия достаточной переработки товара (для подтверждения стоимости сырья и (или) компонентов, используемых в производстве товара, договоры на поставку сырья и (или) счета-фактуры и (или) накладные, документация с описанием технологических операций, с приложением перечня нормативных технических документов, в соответствии с которыми произведен товар, перечень оборудования для производства заявленного товара, документы на производственное помещение, список работников с указанием должностей и (или) профессий, расчет стоимости готовой продукции на условиях цены "франко-завод" с учетом стоимости используемого сырья или компонента иностранного происхождения);</w:t>
            </w:r>
          </w:p>
          <w:p>
            <w:pPr>
              <w:spacing w:after="20"/>
              <w:ind w:left="20"/>
              <w:jc w:val="both"/>
            </w:pPr>
            <w:r>
              <w:rPr>
                <w:rFonts w:ascii="Times New Roman"/>
                <w:b w:val="false"/>
                <w:i w:val="false"/>
                <w:color w:val="000000"/>
                <w:sz w:val="20"/>
              </w:rPr>
              <w:t>
3) сертификат о происхождении товара для внутреннего обращения (далее - сертификат о происхождении товара формы "СТ-KZ") и (или) документы, подтверждающие происхождение сырья, материалов и (или) компонентов, за исключением разрешительных документов на экспорт;</w:t>
            </w:r>
          </w:p>
          <w:p>
            <w:pPr>
              <w:spacing w:after="20"/>
              <w:ind w:left="20"/>
              <w:jc w:val="both"/>
            </w:pPr>
            <w:r>
              <w:rPr>
                <w:rFonts w:ascii="Times New Roman"/>
                <w:b w:val="false"/>
                <w:i w:val="false"/>
                <w:color w:val="000000"/>
                <w:sz w:val="20"/>
              </w:rPr>
              <w:t>
4) складская справка о наличии и количестве товара на складе с указанием адреса склада или справка о планируемом годовом объеме выпуска товара серийного производства;</w:t>
            </w:r>
          </w:p>
          <w:p>
            <w:pPr>
              <w:spacing w:after="20"/>
              <w:ind w:left="20"/>
              <w:jc w:val="both"/>
            </w:pPr>
            <w:r>
              <w:rPr>
                <w:rFonts w:ascii="Times New Roman"/>
                <w:b w:val="false"/>
                <w:i w:val="false"/>
                <w:color w:val="000000"/>
                <w:sz w:val="20"/>
              </w:rPr>
              <w:t>
5) доверенность на представление интересов заявителя (когда заявление подается не руководителем);</w:t>
            </w:r>
          </w:p>
          <w:p>
            <w:pPr>
              <w:spacing w:after="20"/>
              <w:ind w:left="20"/>
              <w:jc w:val="both"/>
            </w:pPr>
            <w:r>
              <w:rPr>
                <w:rFonts w:ascii="Times New Roman"/>
                <w:b w:val="false"/>
                <w:i w:val="false"/>
                <w:color w:val="000000"/>
                <w:sz w:val="20"/>
              </w:rPr>
              <w:t>
6) для продукции растениеводства: справка-подтверждение местного исполнительного органа соответствующей административно-территориальной единицы Республики Казахстан о выращивании заявленной партии продукции на указанной территории;</w:t>
            </w:r>
          </w:p>
          <w:p>
            <w:pPr>
              <w:spacing w:after="20"/>
              <w:ind w:left="20"/>
              <w:jc w:val="both"/>
            </w:pPr>
            <w:r>
              <w:rPr>
                <w:rFonts w:ascii="Times New Roman"/>
                <w:b w:val="false"/>
                <w:i w:val="false"/>
                <w:color w:val="000000"/>
                <w:sz w:val="20"/>
              </w:rPr>
              <w:t xml:space="preserve">
7) декларация по индивидуальному подоходному налогу и социальному налогу за предыдущий квартал (форма 200.00), упрощенная декларация для субъектов малого предпринимательства за предыдущее полугодие (форма 910.00), декларация для плательщиков единого земельного налога (форма 920.00) и (или) трудовые договора, документы об оплате обязательных платежей с доходов работников за последние три месяца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идентификации товара по внешним признакам, маркировке (наименование, тип, упаковка, класс, предприятие-изготовитель), осуществление фотосъемки товара и места его производства с выездом на место нахождения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технологического процесса при производстве товара с целью установления критерия достаточной переработки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расчета доли местного содержания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проверки соответствия заявленного товара по ТН ВЭД и НК РК 04 "Классификатор продукции по видам экономической деятельности"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на приобретение товара (договор, счет-фактура) при подтверждениях происхождения для товаров, реэкспортируемых из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факт ввоза товара на территорию Республики Казахстан (декларация на товары (если товар ввезен с территории государств-членов Евразийского экономического союза, то декларация на товары не предоставляется), документы о перевозке товара (если товар транспортируется автомобильным транспортом с территории государств-членов Евразийского экономического союза, то дополнительно представляется талон прохождения государственного контроля) для товаров реэкспортируемых из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копии документов, подтверждающих происхождение товара (сертификат о происхождении товара или декларация о происхождении товара) для товаров, реэкспортируемых из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проверки акта экспертизы на предмет определения страны происхождения товара для внутреннего обращения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кода товара по Товарной номенклатурой внешнеэкономической деятельности на уровне любого из первых четырех знаков, произошедшее в результате переработки товара для соблюдения критериев достаточной переработки товара казахстанского происхождения для внутреннего обращения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правил адвалорной доли, расчет адвалорной доли в производстве товара:</w:t>
            </w:r>
          </w:p>
          <w:p>
            <w:pPr>
              <w:spacing w:after="20"/>
              <w:ind w:left="20"/>
              <w:jc w:val="both"/>
            </w:pPr>
            <w:r>
              <w:rPr>
                <w:rFonts w:ascii="Times New Roman"/>
                <w:b w:val="false"/>
                <w:i w:val="false"/>
                <w:color w:val="000000"/>
                <w:sz w:val="20"/>
              </w:rPr>
              <w:t>
1) для импортированных товаров - по таможенной стоимости этих товаров при их ввозе в страну, где осуществляется производство конечной продукции, или когда происхождение импортированных товаров неизвестно - по документально подтвержденной цене их первой продажи на территории страны, где осуществляется производство конечной продукции;</w:t>
            </w:r>
          </w:p>
          <w:p>
            <w:pPr>
              <w:spacing w:after="20"/>
              <w:ind w:left="20"/>
              <w:jc w:val="both"/>
            </w:pPr>
            <w:r>
              <w:rPr>
                <w:rFonts w:ascii="Times New Roman"/>
                <w:b w:val="false"/>
                <w:i w:val="false"/>
                <w:color w:val="000000"/>
                <w:sz w:val="20"/>
              </w:rPr>
              <w:t>
2) для конечной продукции - по цене завода (склада) продавца, не включающей расходы на погрузку, таможенное декларирование и вывоз товара из страны экспорта (цена на условиях "франко-завод")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оформление сертификата о происхождении товара на бланках, имеющих степени защиты: первый экземпляр–подлинник, второй и третий экземпляр – копии, ведение учета использования, хранения и выдачи бланков сертификата о происхождении товара уполномоченной организацией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заявителю оформленного сертификата под роспись в журнале регистрации выданных сертификатов о происхождении товара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документов и поверку сведений в них, и составление заключения в произвольной форме об оформлении сертификата о происхождении товара либо об отказе в оформлении сертификата о происхождении товара лицом, состоящее в штате уполномоченной организации, наделенное правом оформления, удостоверения и выдачи сертификата о происхождении товара (далее - уполномоченное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выезда на место нахождения производства заявляемого товара для проверки места производства серийной продукции, когда на момент подачи заявки на получение сертификата о происхождении серийной продукции у заявителя отсутствовал сертификат о происхождении товара формы "СТ-1" или "СТ-KZ" в отношении запрашиваемого товара, выданного за последние 2 (два)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экспертизы происхождения товара экспертом-аудитором в срок не более пяти рабочих дней с момента представления и регистрации заявки с полным пакетом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экспертизы по определению страны происхождения товара для внутреннего обращения на договорной основе на основании заявки на проведение экспертизы происхождения товара для внутреннего обращения по утвержденной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позволяющих идентифицировать используемые при производстве сырье, материалы, комплектующие изделия и (или) документы, удостоверяющие их происхождение при проведении дополнительных исследований и невозможности идентификации товара по внешним признакам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протоколов испытаний, выданные аккредитованными испытательными лабораториями (центрами), при невозможности идентификации товара без лабораторных испытании (измерений) при проведении дополнительных исследований и невозможности идентификации товара по внешним признакам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удостоверение и выдача акта экспертизы о происхождении товара для внутреннего обращения по утвержденной форме, юридическим лицом, имеющим в штате эксперта-аудитора по определению страны происхождения товара, статуса товара Евразийского экономического союза или иностранного товара, осуществляющее работы по проведению экспертизы происхождения товара, статуса товара Евразийского экономического союза или иностранного товара, о том, что товар является:</w:t>
            </w:r>
          </w:p>
          <w:p>
            <w:pPr>
              <w:spacing w:after="20"/>
              <w:ind w:left="20"/>
              <w:jc w:val="both"/>
            </w:pPr>
            <w:r>
              <w:rPr>
                <w:rFonts w:ascii="Times New Roman"/>
                <w:b w:val="false"/>
                <w:i w:val="false"/>
                <w:color w:val="000000"/>
                <w:sz w:val="20"/>
              </w:rPr>
              <w:t>
1) полностью казахстанского происхождения;</w:t>
            </w:r>
          </w:p>
          <w:p>
            <w:pPr>
              <w:spacing w:after="20"/>
              <w:ind w:left="20"/>
              <w:jc w:val="both"/>
            </w:pPr>
            <w:r>
              <w:rPr>
                <w:rFonts w:ascii="Times New Roman"/>
                <w:b w:val="false"/>
                <w:i w:val="false"/>
                <w:color w:val="000000"/>
                <w:sz w:val="20"/>
              </w:rPr>
              <w:t>
2) казахстанского происхождения с учетом критерия достаточной переработки товара;</w:t>
            </w:r>
          </w:p>
          <w:p>
            <w:pPr>
              <w:spacing w:after="20"/>
              <w:ind w:left="20"/>
              <w:jc w:val="both"/>
            </w:pPr>
            <w:r>
              <w:rPr>
                <w:rFonts w:ascii="Times New Roman"/>
                <w:b w:val="false"/>
                <w:i w:val="false"/>
                <w:color w:val="000000"/>
                <w:sz w:val="20"/>
              </w:rPr>
              <w:t>
3) иностранного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составление акта экспертизы о происхождении товара для внутреннего обращения на партию товара сроком действия двенадцать месяцев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 и документов, доказывающих факты приобретения не менее одного закупа сырья, материалов и (или) компонентов (накладные и (или) счета-фактуры), использованных в период действия сертификатов о происхождении товара формы "СТ-KZ" серийного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ранее полученных сертификатах о происхождении товара формы "СТ-KZ"на партию товара в пределах идентичной товарной позиции ТН ВЭД более одного года, за исключением производителей лекарственных средств и медицинских изделий, которые предоставляют регистрационное удостоверение, и лифтов, эскалаторов, траволаторов, подъемников для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 ежегодном получении им сертификатов о происхождении товара формы "СТ-KZ" серийного производства в течение последних трех лет или сертификата о происхождении товара формы "СТ-KZ" серийного производства, выданного на тридцать шесть месяцев, документы, доказывающие факты приобретения не менее одного закупа сырья, материалов и (или) компонентов (накладные и (или) счета-фактуры), использованные в период действия сертификатов о происхождении товара формы "СТ-KZ" серийного производства, за исключением производителей лекарственных средств и медицинских изделий, которые предоставляют сертификат о происхождении товара формы "СТ-KZ" серийного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акта экспертизы о происхождении товара серийного производства на тридцать шесть месяцев заявителю, ранее не получавшему сертификат о происхождении товара формы "СТ-KZ" серийного производства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отражение в акте экспертизы о происхождении товара, при установлении происхождения товара, произведенного из товаров (сырья, материалов, продукции) полностью казахстанского происхождения:</w:t>
            </w:r>
          </w:p>
          <w:p>
            <w:pPr>
              <w:spacing w:after="20"/>
              <w:ind w:left="20"/>
              <w:jc w:val="both"/>
            </w:pPr>
            <w:r>
              <w:rPr>
                <w:rFonts w:ascii="Times New Roman"/>
                <w:b w:val="false"/>
                <w:i w:val="false"/>
                <w:color w:val="000000"/>
                <w:sz w:val="20"/>
              </w:rPr>
              <w:t>
1) технологический процесс изготовления данного товара (нормативный документ, технологические инструкции);</w:t>
            </w:r>
          </w:p>
          <w:p>
            <w:pPr>
              <w:spacing w:after="20"/>
              <w:ind w:left="20"/>
              <w:jc w:val="both"/>
            </w:pPr>
            <w:r>
              <w:rPr>
                <w:rFonts w:ascii="Times New Roman"/>
                <w:b w:val="false"/>
                <w:i w:val="false"/>
                <w:color w:val="000000"/>
                <w:sz w:val="20"/>
              </w:rPr>
              <w:t>
2) поставщики сырья, материалов и компонентов, использованных при производстве товара;</w:t>
            </w:r>
          </w:p>
          <w:p>
            <w:pPr>
              <w:spacing w:after="20"/>
              <w:ind w:left="20"/>
              <w:jc w:val="both"/>
            </w:pPr>
            <w:r>
              <w:rPr>
                <w:rFonts w:ascii="Times New Roman"/>
                <w:b w:val="false"/>
                <w:i w:val="false"/>
                <w:color w:val="000000"/>
                <w:sz w:val="20"/>
              </w:rPr>
              <w:t>
3) счета-фактура и (или) накладные на поставку сырья, материалов и компонентов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1369" w:id="167"/>
      <w:r>
        <w:rPr>
          <w:rFonts w:ascii="Times New Roman"/>
          <w:b w:val="false"/>
          <w:i w:val="false"/>
          <w:color w:val="000000"/>
          <w:sz w:val="28"/>
        </w:rPr>
        <w:t>
      Должностное (ые) лицо (а)</w:t>
      </w:r>
    </w:p>
    <w:bookmarkEnd w:id="167"/>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______________________________________________ подпись</w:t>
      </w:r>
    </w:p>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1372" w:id="168"/>
    <w:p>
      <w:pPr>
        <w:spacing w:after="0"/>
        <w:ind w:left="0"/>
        <w:jc w:val="left"/>
      </w:pPr>
      <w:r>
        <w:rPr>
          <w:rFonts w:ascii="Times New Roman"/>
          <w:b/>
          <w:i w:val="false"/>
          <w:color w:val="000000"/>
        </w:rPr>
        <w:t xml:space="preserve"> Проверочный лист в области технического регулирования в отношении субъектов технического регулирования входящие в структуру государственной системы технического регулирования, а также физические и юридические лица, обладающие в отношении объектов технического регулирования правом владения, пользования и (или) распоряжения в соответствии с гражданским законодательством Республики Казахстан</w:t>
      </w:r>
    </w:p>
    <w:bookmarkEnd w:id="168"/>
    <w:p>
      <w:pPr>
        <w:spacing w:after="0"/>
        <w:ind w:left="0"/>
        <w:jc w:val="both"/>
      </w:pPr>
      <w:bookmarkStart w:name="z1373" w:id="169"/>
      <w:r>
        <w:rPr>
          <w:rFonts w:ascii="Times New Roman"/>
          <w:b w:val="false"/>
          <w:i w:val="false"/>
          <w:color w:val="000000"/>
          <w:sz w:val="28"/>
        </w:rPr>
        <w:t>
      Государственный орган, назначивший проверку/</w:t>
      </w:r>
    </w:p>
    <w:bookmarkEnd w:id="169"/>
    <w:p>
      <w:pPr>
        <w:spacing w:after="0"/>
        <w:ind w:left="0"/>
        <w:jc w:val="both"/>
      </w:pPr>
      <w:r>
        <w:rPr>
          <w:rFonts w:ascii="Times New Roman"/>
          <w:b w:val="false"/>
          <w:i w:val="false"/>
          <w:color w:val="000000"/>
          <w:sz w:val="28"/>
        </w:rPr>
        <w:t>профилактического контроля с посещением субъекта</w:t>
      </w:r>
    </w:p>
    <w:p>
      <w:pPr>
        <w:spacing w:after="0"/>
        <w:ind w:left="0"/>
        <w:jc w:val="both"/>
      </w:pPr>
      <w:r>
        <w:rPr>
          <w:rFonts w:ascii="Times New Roman"/>
          <w:b w:val="false"/>
          <w:i w:val="false"/>
          <w:color w:val="000000"/>
          <w:sz w:val="28"/>
        </w:rPr>
        <w:t>(объекта) контроля и надзора</w:t>
      </w:r>
    </w:p>
    <w:p>
      <w:pPr>
        <w:spacing w:after="0"/>
        <w:ind w:left="0"/>
        <w:jc w:val="both"/>
      </w:pPr>
      <w:r>
        <w:rPr>
          <w:rFonts w:ascii="Times New Roman"/>
          <w:b w:val="false"/>
          <w:i w:val="false"/>
          <w:color w:val="000000"/>
          <w:sz w:val="28"/>
        </w:rPr>
        <w:t>______________________________________________</w:t>
      </w:r>
    </w:p>
    <w:p>
      <w:pPr>
        <w:spacing w:after="0"/>
        <w:ind w:left="0"/>
        <w:jc w:val="both"/>
      </w:pPr>
      <w:r>
        <w:rPr>
          <w:rFonts w:ascii="Times New Roman"/>
          <w:b w:val="false"/>
          <w:i w:val="false"/>
          <w:color w:val="000000"/>
          <w:sz w:val="28"/>
        </w:rPr>
        <w:t>______________________ 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w:t>
      </w:r>
    </w:p>
    <w:p>
      <w:pPr>
        <w:spacing w:after="0"/>
        <w:ind w:left="0"/>
        <w:jc w:val="both"/>
      </w:pPr>
      <w:r>
        <w:rPr>
          <w:rFonts w:ascii="Times New Roman"/>
          <w:b w:val="false"/>
          <w:i w:val="false"/>
          <w:color w:val="000000"/>
          <w:sz w:val="28"/>
        </w:rPr>
        <w:t>с посещением субъекта (объекта) контроля и надзора №, дата</w:t>
      </w:r>
    </w:p>
    <w:p>
      <w:pPr>
        <w:spacing w:after="0"/>
        <w:ind w:left="0"/>
        <w:jc w:val="both"/>
      </w:pPr>
      <w:r>
        <w:rPr>
          <w:rFonts w:ascii="Times New Roman"/>
          <w:b w:val="false"/>
          <w:i w:val="false"/>
          <w:color w:val="000000"/>
          <w:sz w:val="28"/>
        </w:rPr>
        <w:t>___________________________ 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 и надзора</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_____________________________________________________</w:t>
      </w:r>
    </w:p>
    <w:p>
      <w:pPr>
        <w:spacing w:after="0"/>
        <w:ind w:left="0"/>
        <w:jc w:val="both"/>
      </w:pPr>
      <w:r>
        <w:rPr>
          <w:rFonts w:ascii="Times New Roman"/>
          <w:b w:val="false"/>
          <w:i w:val="false"/>
          <w:color w:val="000000"/>
          <w:sz w:val="28"/>
        </w:rPr>
        <w:t>Адрес место нахождения 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Перечень требований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изготовителем и (или) уполномоченным изготовителем лицом и (или) импортером при выпуске в обращение продукции полной, необходимой, однозначно понимаемой и достоверной информацией о ней, исключающая ввод в заблуждение потребителей относительно состава, свойств, назначения, изготовителя и (или) уполномоченного изготовителем лица и (или)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информацией для потребителя и текста маркировки на государственном и русском языках, с учетом норм правописания государственного и русского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расположенной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нанесенной способом, предусмотренным документами по стандартизации, и предоставленной в четкой и легко читаемой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недопущения указывания наименования, вводящее потребителей в заблуждение относительно происхождения (природы) продукции, указание наименование другой аналогичной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изготовителями, уполномоченных изготовителями лицами, импортерами, продавцами наличием информации для потребителя о продукции включающую информацию об отличительных свойствах продукции, состоянии и специальной обработке (при наличии) в соответствии с действующими документами по стандартизации на отдельный вид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наличия соответствующей информации при изготовлении (производстве) продукции обработанного основного ингредиента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регистрационный номер и дату регистрации для продукции, подлежащей в соответствии с законодательством Республики Казахстан государственной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о массе нетто, брутто, основных размеров и объемов продукции указывающийся в метрической системе мер (Международной системе единиц) на упаковке (таре)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наличием информации при наличии требований безопасности при хранении, перевозке, использовании, утилизации (переработки), уничтожении продукции выделяемой от остальной информации для потребителя другим шрифтом, цветом или иными способами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маркировке продукции по обеспечению наличием этикетки, которая легко читаема сквозь наружную упаковку, либо наличие аналогичной этикетки на наружной упаковке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маркировке продукции по обеспечению сохранности информации для потребителя о продукции, применяемой в условиях активного воздействия окружающей среды или в специальных условиях (высокая или низкая температура, агрессивная среда), обеспечивающая любым способом, гарантируя ее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осуществлению переработки, утилизации, уничтожению либо обратного вывоза с территории Республики Казахстан отозванной продукции со дня выявления неустранимых несоответствии в течение 30 (тридцати)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информированию изготовителем, уполномоченным изготовителем лицо, импортером или продавцом о результатах принятых мер по отзыву продукции с предоставлением сведений о продукциях (наименование, код товарной номенклатуры внешней экономической деятельности, количество (единица (в штуках), масса (в килограммах), объем (в литрах), стоимость, № партии, дата изготовления, сведения о документе об оценке соответствия) и указанием выявленных несоответствий (пунктов, статей)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лицом, импортером или продавцом по оповещению приобретателей на казахском и (или) русском языках посредством информационно-коммуникационных технологий, с указанием своих контактных данных для получения подробной информации об условиях отзыва (путем обмена, возврата, возмещения), место расположения пунктов приема такой продукции и ответственных лиц с обязательным предупреждением о возможности нарушения прав и законных интересов приобретателя, причинения вреда жизни и здоровью человека и окружающей среде в результате использования такой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уполномоченным изготовителем лицо, импортером или продавцом по оповещению при наличии контактных данных приобретателя об отзыве продукции, не соответствующей требованиям безопасности, в течение 3 (трех) календарных дней с момента установления факта выпуска в обращение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проведения процедуры обязательного подтверждения соответствия для дальнейшего использования переработанной продукции или ее обращения на рынке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помещением для хранения у субъекта надзора или третьего лица на основании договора хранения, заключенного с субъектом надзора, в соответствии с гражданским законодательством Республики Казахстан изъятой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хранению изъятой продукции в соответствии с требованиями нормативных документов по стандартизации на изъятую продукцию и условиями хранения, указанными в маркировке или в товаросопроводительных документах на продукцию субъектом надзора или третьим лицом, осуществляющих хранение изъятой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в зоне, исключающей ее соприкосновение с иной продукцией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изготовителем, уполномоченного изготовителем лицом, импортером или продавцом по обеспечению хранения изъятой продукции с надписью: "ИЗЪЯТО, ПРОДУКЦИЯ НЕ СООТВЕТСТВУЕТ ТРЕБОВАНИЯМ ТЕХНИЧЕСКОГО РЕГЛАМЕНТА" и нанесению данной надписи с учетом контраста между цветами фона и надписи с обеспечением возможности прочтения информации без применения оптических приспособлений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изготовителем, уполномоченного изготовителем лицом, импортером или продавцом по обеспечению хранения изъятой продукции до вступления в силу решения суда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железнодорожного подвижного состава и его составных частей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и производстве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7) установления критериев предельных состояний продукции;</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проведения оценки соответствия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и его составных частей требованиям по прочности, устойчивости и техническому состоянию безопасному движению поездов с наибольшими скоростями в пределах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железнодорожным подвижным составом и его составными частями:</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выполнение условий эксплуатации с учетом внешних климатических и механических воздействий;</w:t>
            </w:r>
          </w:p>
          <w:p>
            <w:pPr>
              <w:spacing w:after="20"/>
              <w:ind w:left="20"/>
              <w:jc w:val="both"/>
            </w:pPr>
            <w:r>
              <w:rPr>
                <w:rFonts w:ascii="Times New Roman"/>
                <w:b w:val="false"/>
                <w:i w:val="false"/>
                <w:color w:val="000000"/>
                <w:sz w:val="20"/>
              </w:rPr>
              <w:t>
3)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4) устойчивость от схода колеса с рельса;</w:t>
            </w:r>
          </w:p>
          <w:p>
            <w:pPr>
              <w:spacing w:after="20"/>
              <w:ind w:left="20"/>
              <w:jc w:val="both"/>
            </w:pPr>
            <w:r>
              <w:rPr>
                <w:rFonts w:ascii="Times New Roman"/>
                <w:b w:val="false"/>
                <w:i w:val="false"/>
                <w:color w:val="000000"/>
                <w:sz w:val="20"/>
              </w:rPr>
              <w:t>
5) устойчивость от опрокидывания в криволинейных участках пути;</w:t>
            </w:r>
          </w:p>
          <w:p>
            <w:pPr>
              <w:spacing w:after="20"/>
              <w:ind w:left="20"/>
              <w:jc w:val="both"/>
            </w:pPr>
            <w:r>
              <w:rPr>
                <w:rFonts w:ascii="Times New Roman"/>
                <w:b w:val="false"/>
                <w:i w:val="false"/>
                <w:color w:val="000000"/>
                <w:sz w:val="20"/>
              </w:rPr>
              <w:t>
6) предотвращение самопроизвольного ухода с места стоянки;</w:t>
            </w:r>
          </w:p>
          <w:p>
            <w:pPr>
              <w:spacing w:after="20"/>
              <w:ind w:left="20"/>
              <w:jc w:val="both"/>
            </w:pPr>
            <w:r>
              <w:rPr>
                <w:rFonts w:ascii="Times New Roman"/>
                <w:b w:val="false"/>
                <w:i w:val="false"/>
                <w:color w:val="000000"/>
                <w:sz w:val="20"/>
              </w:rPr>
              <w:t>
7) сцепление в поездах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8) допускаемый тормозной путь;</w:t>
            </w:r>
          </w:p>
          <w:p>
            <w:pPr>
              <w:spacing w:after="20"/>
              <w:ind w:left="20"/>
              <w:jc w:val="both"/>
            </w:pPr>
            <w:r>
              <w:rPr>
                <w:rFonts w:ascii="Times New Roman"/>
                <w:b w:val="false"/>
                <w:i w:val="false"/>
                <w:color w:val="000000"/>
                <w:sz w:val="20"/>
              </w:rPr>
              <w:t>
9)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10) предотвращение падения составных частей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11)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12) санитарно-эпидемиологическую и экологическую безопасность;</w:t>
            </w:r>
          </w:p>
          <w:p>
            <w:pPr>
              <w:spacing w:after="20"/>
              <w:ind w:left="20"/>
              <w:jc w:val="both"/>
            </w:pPr>
            <w:r>
              <w:rPr>
                <w:rFonts w:ascii="Times New Roman"/>
                <w:b w:val="false"/>
                <w:i w:val="false"/>
                <w:color w:val="000000"/>
                <w:sz w:val="20"/>
              </w:rPr>
              <w:t>
13)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14)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железнодорожного транспорта; п) выполнение требований пожарной безопасности;</w:t>
            </w:r>
          </w:p>
          <w:p>
            <w:pPr>
              <w:spacing w:after="20"/>
              <w:ind w:left="20"/>
              <w:jc w:val="both"/>
            </w:pPr>
            <w:r>
              <w:rPr>
                <w:rFonts w:ascii="Times New Roman"/>
                <w:b w:val="false"/>
                <w:i w:val="false"/>
                <w:color w:val="000000"/>
                <w:sz w:val="20"/>
              </w:rPr>
              <w:t>
15) прочность при допустимых режимах нагружения и воздействиях;</w:t>
            </w:r>
          </w:p>
          <w:p>
            <w:pPr>
              <w:spacing w:after="20"/>
              <w:ind w:left="20"/>
              <w:jc w:val="both"/>
            </w:pPr>
            <w:r>
              <w:rPr>
                <w:rFonts w:ascii="Times New Roman"/>
                <w:b w:val="false"/>
                <w:i w:val="false"/>
                <w:color w:val="000000"/>
                <w:sz w:val="20"/>
              </w:rPr>
              <w:t>
16)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17)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18)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19) безопасность конструкции грузовых, почтовых и багажных вагонов при погрузке и разгрузке с применением средств механизации;</w:t>
            </w:r>
          </w:p>
          <w:p>
            <w:pPr>
              <w:spacing w:after="20"/>
              <w:ind w:left="20"/>
              <w:jc w:val="both"/>
            </w:pPr>
            <w:r>
              <w:rPr>
                <w:rFonts w:ascii="Times New Roman"/>
                <w:b w:val="false"/>
                <w:i w:val="false"/>
                <w:color w:val="000000"/>
                <w:sz w:val="20"/>
              </w:rPr>
              <w:t>
20) сцепление вагонов при роспуске с горок и (или) проходе по аппарельному съезду парома;</w:t>
            </w:r>
          </w:p>
          <w:p>
            <w:pPr>
              <w:spacing w:after="20"/>
              <w:ind w:left="20"/>
              <w:jc w:val="both"/>
            </w:pPr>
            <w:r>
              <w:rPr>
                <w:rFonts w:ascii="Times New Roman"/>
                <w:b w:val="false"/>
                <w:i w:val="false"/>
                <w:color w:val="000000"/>
                <w:sz w:val="20"/>
              </w:rPr>
              <w:t>
21) отсутствие касаний составных частей железнодорожного подвижного состава между собой и с элементами инфраструктуры железнодорожного транспорта, не предусмотренных конструкторской документацией;</w:t>
            </w:r>
          </w:p>
          <w:p>
            <w:pPr>
              <w:spacing w:after="20"/>
              <w:ind w:left="20"/>
              <w:jc w:val="both"/>
            </w:pPr>
            <w:r>
              <w:rPr>
                <w:rFonts w:ascii="Times New Roman"/>
                <w:b w:val="false"/>
                <w:i w:val="false"/>
                <w:color w:val="000000"/>
                <w:sz w:val="20"/>
              </w:rPr>
              <w:t>
22) сцепление железнодорожного подвижного состава в криволинейных участках железнодорожного пути, возможность передвижения вагонов в сцепе и одиночных вагонов по путям необщего пользования;</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снижения при внесении изменений в конструкцию железнодорожного подвижного состава и его составных частей установленных при проектировании требований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проведения обязательного подтверждения соответствия при внесении изменений в конструкцию или технологию изготовления железнодорожного подвижного состава и его составных частей, влияющих на безопасность, а также при модернизации с продлением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и его составных частях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железнодорожном подвижном составе маркировки соответствующей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составных частях железнодорожного подвижного состава маркировки соответствующей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колесных парах железнодорожного подвижного состава в соответствии с конструкторской документацией знака маркировки и клеймения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отлитых знаков маркировки на рамах и балках тележек грузовых вагонов в соответствии с конструкторской документацией содержащее:</w:t>
            </w:r>
          </w:p>
          <w:p>
            <w:pPr>
              <w:spacing w:after="20"/>
              <w:ind w:left="20"/>
              <w:jc w:val="both"/>
            </w:pPr>
            <w:r>
              <w:rPr>
                <w:rFonts w:ascii="Times New Roman"/>
                <w:b w:val="false"/>
                <w:i w:val="false"/>
                <w:color w:val="000000"/>
                <w:sz w:val="20"/>
              </w:rPr>
              <w:t>
1) условный номер изготовителя;</w:t>
            </w:r>
          </w:p>
          <w:p>
            <w:pPr>
              <w:spacing w:after="20"/>
              <w:ind w:left="20"/>
              <w:jc w:val="both"/>
            </w:pPr>
            <w:r>
              <w:rPr>
                <w:rFonts w:ascii="Times New Roman"/>
                <w:b w:val="false"/>
                <w:i w:val="false"/>
                <w:color w:val="000000"/>
                <w:sz w:val="20"/>
              </w:rPr>
              <w:t>
2) две последние цифры года изготовления;</w:t>
            </w:r>
          </w:p>
          <w:p>
            <w:pPr>
              <w:spacing w:after="20"/>
              <w:ind w:left="20"/>
              <w:jc w:val="both"/>
            </w:pPr>
            <w:r>
              <w:rPr>
                <w:rFonts w:ascii="Times New Roman"/>
                <w:b w:val="false"/>
                <w:i w:val="false"/>
                <w:color w:val="000000"/>
                <w:sz w:val="20"/>
              </w:rPr>
              <w:t>
3) порядковый номер рам и балок по системе нумерации изготовителя;</w:t>
            </w:r>
          </w:p>
          <w:p>
            <w:pPr>
              <w:spacing w:after="20"/>
              <w:ind w:left="20"/>
              <w:jc w:val="both"/>
            </w:pPr>
            <w:r>
              <w:rPr>
                <w:rFonts w:ascii="Times New Roman"/>
                <w:b w:val="false"/>
                <w:i w:val="false"/>
                <w:color w:val="000000"/>
                <w:sz w:val="20"/>
              </w:rPr>
              <w:t>
4) условное обозначение марки стали;</w:t>
            </w:r>
          </w:p>
          <w:p>
            <w:pPr>
              <w:spacing w:after="20"/>
              <w:ind w:left="20"/>
              <w:jc w:val="both"/>
            </w:pPr>
            <w:r>
              <w:rPr>
                <w:rFonts w:ascii="Times New Roman"/>
                <w:b w:val="false"/>
                <w:i w:val="false"/>
                <w:color w:val="000000"/>
                <w:sz w:val="20"/>
              </w:rPr>
              <w:t>
Рамы и балки тележек грузовых вагонов в соответствии с конструкторской документацией иметь знаки клеймения изготовителя, при исправлении дефекта рам и балок сваркой - и клеймо сварщика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пассажирских вагонов и вагонов моторвагонного подвижного состава в соответствии с конструкторской документацией содержащее:</w:t>
            </w:r>
          </w:p>
          <w:p>
            <w:pPr>
              <w:spacing w:after="20"/>
              <w:ind w:left="20"/>
              <w:jc w:val="both"/>
            </w:pPr>
            <w:r>
              <w:rPr>
                <w:rFonts w:ascii="Times New Roman"/>
                <w:b w:val="false"/>
                <w:i w:val="false"/>
                <w:color w:val="000000"/>
                <w:sz w:val="20"/>
              </w:rPr>
              <w:t>
1) знак обращения на рынке государств-членов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эксплуатационных документов на государственном языке государства-члена Евразийского экономического союза, в котором изготовлена продукция, и на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наличию комплекта эксплуатационной и ремонтной документации при вводе в эксплуатацию железнодорожного подвижного состава и его составных частей. </w:t>
            </w:r>
          </w:p>
          <w:p>
            <w:pPr>
              <w:spacing w:after="20"/>
              <w:ind w:left="20"/>
              <w:jc w:val="both"/>
            </w:pPr>
            <w:r>
              <w:rPr>
                <w:rFonts w:ascii="Times New Roman"/>
                <w:b w:val="false"/>
                <w:i w:val="false"/>
                <w:color w:val="000000"/>
                <w:sz w:val="20"/>
              </w:rPr>
              <w:t>
Изготовленная продукция, подлежащая обязательному подтверждению соответствия, выпускается в обращение при наличии соответствующих руководств по эксплуатации, выполнение требований и положений которых обеспечивает ее безопасную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расположения и монтажа оборудования железнодорожного подвижного состава обеспечивающего безопасность обслуживающего персонала при эксплуатации, осмотре, техническом обслуживании, ремонте.</w:t>
            </w:r>
          </w:p>
          <w:p>
            <w:pPr>
              <w:spacing w:after="20"/>
              <w:ind w:left="20"/>
              <w:jc w:val="both"/>
            </w:pPr>
            <w:r>
              <w:rPr>
                <w:rFonts w:ascii="Times New Roman"/>
                <w:b w:val="false"/>
                <w:i w:val="false"/>
                <w:color w:val="000000"/>
                <w:sz w:val="20"/>
              </w:rPr>
              <w:t>
Наличие на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системы управления, контроля и безопасности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p>
            <w:pPr>
              <w:spacing w:after="20"/>
              <w:ind w:left="20"/>
              <w:jc w:val="both"/>
            </w:pPr>
            <w:r>
              <w:rPr>
                <w:rFonts w:ascii="Times New Roman"/>
                <w:b w:val="false"/>
                <w:i w:val="false"/>
                <w:color w:val="000000"/>
                <w:sz w:val="20"/>
              </w:rPr>
              <w:t>
Исключение системами управления и контроля железнодорожного подвижного состава созданий опасных ситуаций при возможных логических ошибках обслуживающего персонала.</w:t>
            </w:r>
          </w:p>
          <w:p>
            <w:pPr>
              <w:spacing w:after="20"/>
              <w:ind w:left="20"/>
              <w:jc w:val="both"/>
            </w:pPr>
            <w:r>
              <w:rPr>
                <w:rFonts w:ascii="Times New Roman"/>
                <w:b w:val="false"/>
                <w:i w:val="false"/>
                <w:color w:val="000000"/>
                <w:sz w:val="20"/>
              </w:rPr>
              <w:t>
Наличие в системах управления, контроля и безопасности средств сигнализации и информирования, предупреждающие о нарушениях исправного состояния железнодорожного подвижного состава и его составных частей, которые привести к возникновению ситуаций, угрожающих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железнодорожного подвижного состава, как встраиваемыми, так и поставляемыми на материальных носителях следующего:</w:t>
            </w:r>
          </w:p>
          <w:p>
            <w:pPr>
              <w:spacing w:after="20"/>
              <w:ind w:left="20"/>
              <w:jc w:val="both"/>
            </w:pPr>
            <w:r>
              <w:rPr>
                <w:rFonts w:ascii="Times New Roman"/>
                <w:b w:val="false"/>
                <w:i w:val="false"/>
                <w:color w:val="000000"/>
                <w:sz w:val="20"/>
              </w:rPr>
              <w:t>
1) работоспособность после перезагрузок, вызванных сбоями и (или)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недопущению системой управления, контроля и безопасности железнодорожного подвижного состава в случаях работы тягового привода и другого оборудования при неисправностях аппаратов электрической, гидравлической и (или) пневматической частей, сбоя программного обеспечения, изменений характеристик и режимов работы, которые приводят к нарушению безопасного состояния железнодорожного подвижного состава. Недопущение сбоем системы управления при исправной работе бортовых устройств безопасности, остановки железнодорожного подвижного состава и к нарушению его проектных характеристик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(или)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или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грузовых локомотивов и специальных самоходных железнодорожных подвижных составов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приборы контроля скорости движения;</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устройство контроля плотности пневматической тормозной магистрали.</w:t>
            </w:r>
          </w:p>
          <w:p>
            <w:pPr>
              <w:spacing w:after="20"/>
              <w:ind w:left="20"/>
              <w:jc w:val="both"/>
            </w:pPr>
            <w:r>
              <w:rPr>
                <w:rFonts w:ascii="Times New Roman"/>
                <w:b w:val="false"/>
                <w:i w:val="false"/>
                <w:color w:val="000000"/>
                <w:sz w:val="20"/>
              </w:rPr>
              <w:t>
Грузовые локомотивы, предназначенные для эксплуатации на участках с интенсивным движением и для вождения соединенных поездов оборудованы следующими устройствами:</w:t>
            </w:r>
          </w:p>
          <w:p>
            <w:pPr>
              <w:spacing w:after="20"/>
              <w:ind w:left="20"/>
              <w:jc w:val="both"/>
            </w:pPr>
            <w:r>
              <w:rPr>
                <w:rFonts w:ascii="Times New Roman"/>
                <w:b w:val="false"/>
                <w:i w:val="false"/>
                <w:color w:val="000000"/>
                <w:sz w:val="20"/>
              </w:rPr>
              <w:t>
1)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2) автоматическая пожарная сигнализация.</w:t>
            </w:r>
          </w:p>
          <w:p>
            <w:pPr>
              <w:spacing w:after="20"/>
              <w:ind w:left="20"/>
              <w:jc w:val="both"/>
            </w:pPr>
            <w:r>
              <w:rPr>
                <w:rFonts w:ascii="Times New Roman"/>
                <w:b w:val="false"/>
                <w:i w:val="false"/>
                <w:color w:val="000000"/>
                <w:sz w:val="20"/>
              </w:rPr>
              <w:t>
Грузовые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маневровых локомотивов следующими устройствами:</w:t>
            </w:r>
          </w:p>
          <w:p>
            <w:pPr>
              <w:spacing w:after="20"/>
              <w:ind w:left="20"/>
              <w:jc w:val="both"/>
            </w:pPr>
            <w:r>
              <w:rPr>
                <w:rFonts w:ascii="Times New Roman"/>
                <w:b w:val="false"/>
                <w:i w:val="false"/>
                <w:color w:val="000000"/>
                <w:sz w:val="20"/>
              </w:rPr>
              <w:t>
1) дистанционная отцепка от вагонов;</w:t>
            </w:r>
          </w:p>
          <w:p>
            <w:pPr>
              <w:spacing w:after="20"/>
              <w:ind w:left="20"/>
              <w:jc w:val="both"/>
            </w:pPr>
            <w:r>
              <w:rPr>
                <w:rFonts w:ascii="Times New Roman"/>
                <w:b w:val="false"/>
                <w:i w:val="false"/>
                <w:color w:val="000000"/>
                <w:sz w:val="20"/>
              </w:rPr>
              <w:t>
2) маневровая радиосвязь, совместимая с маневровой радиосвязью, используемой на участках обращения маневровых локомотивов.</w:t>
            </w:r>
          </w:p>
          <w:p>
            <w:pPr>
              <w:spacing w:after="20"/>
              <w:ind w:left="20"/>
              <w:jc w:val="both"/>
            </w:pPr>
            <w:r>
              <w:rPr>
                <w:rFonts w:ascii="Times New Roman"/>
                <w:b w:val="false"/>
                <w:i w:val="false"/>
                <w:color w:val="000000"/>
                <w:sz w:val="20"/>
              </w:rPr>
              <w:t>
Маневровые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второй пульт управления;</w:t>
            </w:r>
          </w:p>
          <w:p>
            <w:pPr>
              <w:spacing w:after="20"/>
              <w:ind w:left="20"/>
              <w:jc w:val="both"/>
            </w:pPr>
            <w:r>
              <w:rPr>
                <w:rFonts w:ascii="Times New Roman"/>
                <w:b w:val="false"/>
                <w:i w:val="false"/>
                <w:color w:val="000000"/>
                <w:sz w:val="20"/>
              </w:rPr>
              <w:t>
2) зеркала заднего вида или аналогичные устройства;</w:t>
            </w:r>
          </w:p>
          <w:p>
            <w:pPr>
              <w:spacing w:after="20"/>
              <w:ind w:left="20"/>
              <w:jc w:val="both"/>
            </w:pPr>
            <w:r>
              <w:rPr>
                <w:rFonts w:ascii="Times New Roman"/>
                <w:b w:val="false"/>
                <w:i w:val="false"/>
                <w:color w:val="000000"/>
                <w:sz w:val="20"/>
              </w:rPr>
              <w:t>
3) устройства, обеспечивающие автоматическую остановку при внезапной потери машинистом способности к ведению локомотива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локомотивов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автоматическая пожарная сигнализация;</w:t>
            </w:r>
          </w:p>
          <w:p>
            <w:pPr>
              <w:spacing w:after="20"/>
              <w:ind w:left="20"/>
              <w:jc w:val="both"/>
            </w:pPr>
            <w:r>
              <w:rPr>
                <w:rFonts w:ascii="Times New Roman"/>
                <w:b w:val="false"/>
                <w:i w:val="false"/>
                <w:color w:val="000000"/>
                <w:sz w:val="20"/>
              </w:rPr>
              <w:t>
4) регистраторы параметров движения;</w:t>
            </w:r>
          </w:p>
          <w:p>
            <w:pPr>
              <w:spacing w:after="20"/>
              <w:ind w:left="20"/>
              <w:jc w:val="both"/>
            </w:pPr>
            <w:r>
              <w:rPr>
                <w:rFonts w:ascii="Times New Roman"/>
                <w:b w:val="false"/>
                <w:i w:val="false"/>
                <w:color w:val="000000"/>
                <w:sz w:val="20"/>
              </w:rPr>
              <w:t>
5) автоматическая локомотивная сигнализация;</w:t>
            </w:r>
          </w:p>
          <w:p>
            <w:pPr>
              <w:spacing w:after="20"/>
              <w:ind w:left="20"/>
              <w:jc w:val="both"/>
            </w:pPr>
            <w:r>
              <w:rPr>
                <w:rFonts w:ascii="Times New Roman"/>
                <w:b w:val="false"/>
                <w:i w:val="false"/>
                <w:color w:val="000000"/>
                <w:sz w:val="20"/>
              </w:rPr>
              <w:t>
6) электропневматический тормоз.</w:t>
            </w:r>
          </w:p>
          <w:p>
            <w:pPr>
              <w:spacing w:after="20"/>
              <w:ind w:left="20"/>
              <w:jc w:val="both"/>
            </w:pPr>
            <w:r>
              <w:rPr>
                <w:rFonts w:ascii="Times New Roman"/>
                <w:b w:val="false"/>
                <w:i w:val="false"/>
                <w:color w:val="000000"/>
                <w:sz w:val="20"/>
              </w:rPr>
              <w:t>
Пассажирские локомотивы, обслуживаемые одним машинистом, оборудованы следующими устройствами:</w:t>
            </w:r>
          </w:p>
          <w:p>
            <w:pPr>
              <w:spacing w:after="20"/>
              <w:ind w:left="20"/>
              <w:jc w:val="both"/>
            </w:pPr>
            <w:r>
              <w:rPr>
                <w:rFonts w:ascii="Times New Roman"/>
                <w:b w:val="false"/>
                <w:i w:val="false"/>
                <w:color w:val="000000"/>
                <w:sz w:val="20"/>
              </w:rPr>
              <w:t>
1) система автоматического управления торможением поезда или комплексное локомотивное устройство безопасности;</w:t>
            </w:r>
          </w:p>
          <w:p>
            <w:pPr>
              <w:spacing w:after="20"/>
              <w:ind w:left="20"/>
              <w:jc w:val="both"/>
            </w:pPr>
            <w:r>
              <w:rPr>
                <w:rFonts w:ascii="Times New Roman"/>
                <w:b w:val="false"/>
                <w:i w:val="false"/>
                <w:color w:val="000000"/>
                <w:sz w:val="20"/>
              </w:rPr>
              <w:t>
2) система контроля бодрствования машиниста;</w:t>
            </w:r>
          </w:p>
          <w:p>
            <w:pPr>
              <w:spacing w:after="20"/>
              <w:ind w:left="20"/>
              <w:jc w:val="both"/>
            </w:pPr>
            <w:r>
              <w:rPr>
                <w:rFonts w:ascii="Times New Roman"/>
                <w:b w:val="false"/>
                <w:i w:val="false"/>
                <w:color w:val="000000"/>
                <w:sz w:val="20"/>
              </w:rPr>
              <w:t>
3) зеркала заднего вида или аналогичные устройства;</w:t>
            </w:r>
          </w:p>
          <w:p>
            <w:pPr>
              <w:spacing w:after="20"/>
              <w:ind w:left="20"/>
              <w:jc w:val="both"/>
            </w:pPr>
            <w:r>
              <w:rPr>
                <w:rFonts w:ascii="Times New Roman"/>
                <w:b w:val="false"/>
                <w:i w:val="false"/>
                <w:color w:val="000000"/>
                <w:sz w:val="20"/>
              </w:rPr>
              <w:t>
4) блокировка тормоза;</w:t>
            </w:r>
          </w:p>
          <w:p>
            <w:pPr>
              <w:spacing w:after="20"/>
              <w:ind w:left="20"/>
              <w:jc w:val="both"/>
            </w:pPr>
            <w:r>
              <w:rPr>
                <w:rFonts w:ascii="Times New Roman"/>
                <w:b w:val="false"/>
                <w:i w:val="false"/>
                <w:color w:val="000000"/>
                <w:sz w:val="20"/>
              </w:rPr>
              <w:t>
5) система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железнодорожным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локомотивов, используемых для перевозки пассажиров, специальных и опасных грузов, и головных вагонов моторвагонного подвижного состава, аппаратурой спутниковой навигации, способствующей обеспечению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дополнение автоматической локомотивной сигнализации на локомотивах, моторвагонного подвижного состава и специального самоходного железнодорожного подвижного состава устройствами безопасности, обеспечивающими контроль установленных скоростей движения, периодическую проверку бдительности машиниста, препятствующими самопроизвольному уходу поезда с места его стоянки. Обеспечение автоматической остановки поезда, в случаях потери машинистом способности управления локомотивом, моторвагонным подвижным составом и специальным самоходным железнодорожным подвижным составом, а водителем дрезины - дрезиной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кабины машиниста локомотива, моторвагонного подвижного состава и специального самоходного железнодорожного подвижного состава следующим:</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p>
            <w:pPr>
              <w:spacing w:after="20"/>
              <w:ind w:left="20"/>
              <w:jc w:val="both"/>
            </w:pPr>
            <w:r>
              <w:rPr>
                <w:rFonts w:ascii="Times New Roman"/>
                <w:b w:val="false"/>
                <w:i w:val="false"/>
                <w:color w:val="000000"/>
                <w:sz w:val="20"/>
              </w:rPr>
              <w:t>
Соответствие ветровых стекол кабины машиниста локомотива, моторвагонного подвижного состава и специального самоходного железнодорожного подвижного состава надежному закреплению в окнах и уплотнению</w:t>
            </w:r>
          </w:p>
          <w:p>
            <w:pPr>
              <w:spacing w:after="20"/>
              <w:ind w:left="20"/>
              <w:jc w:val="both"/>
            </w:pPr>
            <w:r>
              <w:rPr>
                <w:rFonts w:ascii="Times New Roman"/>
                <w:b w:val="false"/>
                <w:i w:val="false"/>
                <w:color w:val="000000"/>
                <w:sz w:val="20"/>
              </w:rPr>
              <w:t>
Соответствие планировки кабины машиниста локомотива, моторвагонного подвижного состава и специального самоходного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требованиям эргономики и системотехники.</w:t>
            </w:r>
          </w:p>
          <w:p>
            <w:pPr>
              <w:spacing w:after="20"/>
              <w:ind w:left="20"/>
              <w:jc w:val="both"/>
            </w:pPr>
            <w:r>
              <w:rPr>
                <w:rFonts w:ascii="Times New Roman"/>
                <w:b w:val="false"/>
                <w:i w:val="false"/>
                <w:color w:val="000000"/>
                <w:sz w:val="20"/>
              </w:rPr>
              <w:t>
Обеспечение соответствия при проектировании пульта управления и рабочего места машиниста и его помощника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Обеспечение конструкции и расположений приборов и устройств управления, измерительных приборов, световых индикаторов на пульте управления видимости показаний указанных приборов и индикаторов в дневное и ночное время при отсутствии бликов от прямого или отраженного света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системами общего, местного и аварийного освещения.</w:t>
            </w:r>
          </w:p>
          <w:p>
            <w:pPr>
              <w:spacing w:after="20"/>
              <w:ind w:left="20"/>
              <w:jc w:val="both"/>
            </w:pPr>
            <w:r>
              <w:rPr>
                <w:rFonts w:ascii="Times New Roman"/>
                <w:b w:val="false"/>
                <w:i w:val="false"/>
                <w:color w:val="000000"/>
                <w:sz w:val="20"/>
              </w:rPr>
              <w:t>
Обеспечение системы аварийного освещения автоматическим переключателем на автономный источник питания (аккумуляторную батарею) при отсутствии напряжения в основном источнике питания. С предусмотренной возможностью ручного включения аварийного освещения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локомотива, моторвагонного подвижного состава и специального самоходного железнодорожного подвижного состава через боковые окна с использованием вспомогательных приспособлений.</w:t>
            </w:r>
          </w:p>
          <w:p>
            <w:pPr>
              <w:spacing w:after="20"/>
              <w:ind w:left="20"/>
              <w:jc w:val="both"/>
            </w:pPr>
            <w:r>
              <w:rPr>
                <w:rFonts w:ascii="Times New Roman"/>
                <w:b w:val="false"/>
                <w:i w:val="false"/>
                <w:color w:val="000000"/>
                <w:sz w:val="20"/>
              </w:rPr>
              <w:t>
Оборудование моторвагонного подвижного состава, пассажирских вагонов, изотермических вагонов со служебными и вспомогательными помещениями и специального железнодорожного подвижного состава аварийными выходами с каждой стороны вагона с наличием при необходимости средств аварийной эвакуации обслуживающего персонала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остекления внутренних помещений железнодорожного подвижного состава, предназначенных для обслуживающего персонала и пассажиров, при ударных воздействиях на железнодорожный подвижной состав во время его стоянки или в пути следования.</w:t>
            </w:r>
          </w:p>
          <w:p>
            <w:pPr>
              <w:spacing w:after="20"/>
              <w:ind w:left="20"/>
              <w:jc w:val="both"/>
            </w:pPr>
            <w:r>
              <w:rPr>
                <w:rFonts w:ascii="Times New Roman"/>
                <w:b w:val="false"/>
                <w:i w:val="false"/>
                <w:color w:val="000000"/>
                <w:sz w:val="20"/>
              </w:rPr>
              <w:t>
Обеспечение внутренних частей железнодорожного подвижного состава, требующих осмотра, настройки и технического обслуживания, и при необходимости наружного рабочего оборудования дополнительным освещением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автоматическими тормозами, обеспечивающими при торможении состава замедление или остановку в пределах расчетного тормозного пути.</w:t>
            </w:r>
          </w:p>
          <w:p>
            <w:pPr>
              <w:spacing w:after="20"/>
              <w:ind w:left="20"/>
              <w:jc w:val="both"/>
            </w:pPr>
            <w:r>
              <w:rPr>
                <w:rFonts w:ascii="Times New Roman"/>
                <w:b w:val="false"/>
                <w:i w:val="false"/>
                <w:color w:val="000000"/>
                <w:sz w:val="20"/>
              </w:rPr>
              <w:t>
Соответствие автоматического тормоза железнодорожного подвижного состава необходимой функциональности и надежности в различных условиях эксплуатации, обеспечивающее плавность торможения, а также остановку поезда при нарушении целостности тормозной магистрали или при несанкционированном расцеплении единиц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автоматическими тормозами возможности применения различных режимов торможения в зависимости от загрузки железнодорожного подвижного состава, длины состава и профиля железнодорожного пути.</w:t>
            </w:r>
          </w:p>
          <w:p>
            <w:pPr>
              <w:spacing w:after="20"/>
              <w:ind w:left="20"/>
              <w:jc w:val="both"/>
            </w:pPr>
            <w:r>
              <w:rPr>
                <w:rFonts w:ascii="Times New Roman"/>
                <w:b w:val="false"/>
                <w:i w:val="false"/>
                <w:color w:val="000000"/>
                <w:sz w:val="20"/>
              </w:rPr>
              <w:t>
Наличие в тамбурах пассажирских вагонов и моторвагонном подвижном составе, внутри пассажирских вагонов опломбированных стоп-кранов.</w:t>
            </w:r>
          </w:p>
          <w:p>
            <w:pPr>
              <w:spacing w:after="20"/>
              <w:ind w:left="20"/>
              <w:jc w:val="both"/>
            </w:pPr>
            <w:r>
              <w:rPr>
                <w:rFonts w:ascii="Times New Roman"/>
                <w:b w:val="false"/>
                <w:i w:val="false"/>
                <w:color w:val="000000"/>
                <w:sz w:val="20"/>
              </w:rPr>
              <w:t>
Наличие в служебных помещениях изотермических вагонов со служебными и вспомогательными помещениями опломбированных стоп-кранов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стояночными тормозами. Оборудование части грузовых вагонов от общего числа выпускаемых, переходными площадками со стоп-краном и стояночным тормозом в соответствии со стандартами.</w:t>
            </w:r>
          </w:p>
          <w:p>
            <w:pPr>
              <w:spacing w:after="20"/>
              <w:ind w:left="20"/>
              <w:jc w:val="both"/>
            </w:pPr>
            <w:r>
              <w:rPr>
                <w:rFonts w:ascii="Times New Roman"/>
                <w:b w:val="false"/>
                <w:i w:val="false"/>
                <w:color w:val="000000"/>
                <w:sz w:val="20"/>
              </w:rPr>
              <w:t>
Обеспечение стояночными тормозами железнодорожного подвижного состава расчетного тормозного нажатия и удержания единицы железнодорожного подвижного состава.</w:t>
            </w:r>
          </w:p>
          <w:p>
            <w:pPr>
              <w:spacing w:after="20"/>
              <w:ind w:left="20"/>
              <w:jc w:val="both"/>
            </w:pPr>
            <w:r>
              <w:rPr>
                <w:rFonts w:ascii="Times New Roman"/>
                <w:b w:val="false"/>
                <w:i w:val="false"/>
                <w:color w:val="000000"/>
                <w:sz w:val="20"/>
              </w:rPr>
              <w:t>
Оснащение штурвала ручного стояночного тормоза устройством, исключающим самопроизвольное вращение штурвала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наличию предохранительных устройств, выдерживающих вес защищаемого ими оборудования на составных частях железнодорожного подвижного состава, разъединение или излом которых может вызвать их падение на железнодорожный путь или выход из габарита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главных воздушных резервуаров и аккумуляторных батарей железнодорожного подвижного состава, установленных вне кабины машиниста, пассажирских салонов и помещений для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локомотивов и моторвагонного подвижного состава (при наличии) с работой пневматических и электропневматических тормозов при осуществлении служебного или экстренного торможения. Обеспечение автоматического замещения пневматическим тормозом при отказе электродинамического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работоспособности железнодорожного подвижного состава и его составных частей при температурах окружающего воздуха в пределах допустимых значений и сохранения работоспособности при кратковременном повышении температуры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сцепным устройством, исключающим самопроизвольное разъединение единиц железнодорожного подвижного состава и обеспечивающим его эвакуацию в экстренных случаях.</w:t>
            </w:r>
          </w:p>
          <w:p>
            <w:pPr>
              <w:spacing w:after="20"/>
              <w:ind w:left="20"/>
              <w:jc w:val="both"/>
            </w:pPr>
            <w:r>
              <w:rPr>
                <w:rFonts w:ascii="Times New Roman"/>
                <w:b w:val="false"/>
                <w:i w:val="false"/>
                <w:color w:val="000000"/>
                <w:sz w:val="20"/>
              </w:rPr>
              <w:t>
Включение в состав автосцепного устройства железнодорожного подвижного состава энергопоглощающего аппарата.</w:t>
            </w:r>
          </w:p>
          <w:p>
            <w:pPr>
              <w:spacing w:after="20"/>
              <w:ind w:left="20"/>
              <w:jc w:val="both"/>
            </w:pPr>
            <w:r>
              <w:rPr>
                <w:rFonts w:ascii="Times New Roman"/>
                <w:b w:val="false"/>
                <w:i w:val="false"/>
                <w:color w:val="000000"/>
                <w:sz w:val="20"/>
              </w:rPr>
              <w:t>
Оборудование пассажирских вагонов и моторвагонного подвижного состава, автосцепным устройством, буферными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колес, осей и бандажей колесных пар железнодорожного подвижного состава, боковых рам и надрессорных балок тележек грузовых вагонов запасом статической прочности и необходимым коэффициентом сопротивления усталости, которые обеспечивают стойкость к образованию и развитию дефектов (трещин) в течение указанного в конструкторской документации срока их полного освидетельствования или срока службы.</w:t>
            </w:r>
          </w:p>
          <w:p>
            <w:pPr>
              <w:spacing w:after="20"/>
              <w:ind w:left="20"/>
              <w:jc w:val="both"/>
            </w:pPr>
            <w:r>
              <w:rPr>
                <w:rFonts w:ascii="Times New Roman"/>
                <w:b w:val="false"/>
                <w:i w:val="false"/>
                <w:color w:val="000000"/>
                <w:sz w:val="20"/>
              </w:rPr>
              <w:t>
Обеспечение механическими свойствами, ударной вязкость и остаточным напряженным состоянием колес, осей и бандажей, боковых рам и надрессорных балок тележек грузовых вагонов механической безопасностью в течение назначенного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и веществ, применяемых при проектировании и производстве железнодорожного подвижного состава и его составных частей, требованиям безопасности для людей и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характеристик (показатели микроклимата, уровни шума, вибрации, ультразвука, электромагнитного излучения, освещения, состава воздушной среды) систем жизнеобеспечения (система кондиционирования воздуха - отопление, вентиляция, охлаждение, системы освещения, шумо- и виброзащиты, воздухоочистки, защиты от инфразвука и ультразвука, электромагнитных излучений) кабин машинистов локомотивов, моторвагонного подвижного состава и специального самоходного железнодорожного подвижного состава, внутренних помещений пассажирских вагонов и моторвагонного подвижного состава, служебных и бытовых помещений специального железнодорожного подвижного состава, а также изотермических вагонов со служебными и вспомогательными помещениями допустимым значениям для рабочих мест.</w:t>
            </w:r>
          </w:p>
          <w:p>
            <w:pPr>
              <w:spacing w:after="20"/>
              <w:ind w:left="20"/>
              <w:jc w:val="both"/>
            </w:pPr>
            <w:r>
              <w:rPr>
                <w:rFonts w:ascii="Times New Roman"/>
                <w:b w:val="false"/>
                <w:i w:val="false"/>
                <w:color w:val="000000"/>
                <w:sz w:val="20"/>
              </w:rPr>
              <w:t>
Обеспечение не превышения уровня внешнего шума от железнодорожного подвижного состава допустимым значениям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возникновению опасных воздействий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железнодорожного подвижного состава и его составных частей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надежного закрепления подножек и поручней железнодорожного подвижного состава, с припятствием скольжения поверхности ступенек, площадок, подножек и настилов.</w:t>
            </w:r>
          </w:p>
          <w:p>
            <w:pPr>
              <w:spacing w:after="20"/>
              <w:ind w:left="20"/>
              <w:jc w:val="both"/>
            </w:pPr>
            <w:r>
              <w:rPr>
                <w:rFonts w:ascii="Times New Roman"/>
                <w:b w:val="false"/>
                <w:i w:val="false"/>
                <w:color w:val="000000"/>
                <w:sz w:val="20"/>
              </w:rPr>
              <w:t>
Наличие на лестницах, ведущих на крышу вагонов, специального железнодорожного подвижного состава предупреждающих об опасности знаков.</w:t>
            </w:r>
          </w:p>
          <w:p>
            <w:pPr>
              <w:spacing w:after="20"/>
              <w:ind w:left="20"/>
              <w:jc w:val="both"/>
            </w:pPr>
            <w:r>
              <w:rPr>
                <w:rFonts w:ascii="Times New Roman"/>
                <w:b w:val="false"/>
                <w:i w:val="false"/>
                <w:color w:val="000000"/>
                <w:sz w:val="20"/>
              </w:rPr>
              <w:t>
Обеспечение блокировки лестниц для подъема на крышу локомотивов и моторных вагонов электропоездов в закрытом состоянии и открытий с помощью специального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отсутствию острых ребер, кромок и углов на выступающих деталях конструкции и оборудования железнодорожного подвижного состава и его составных частей, способных травмировать обслуживающий персонал и пассажиров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пассажирских вагонов, вагонов моторвагонного подвижного состава, кабин машиниста локомотивов, моторвагонного подвижного состава, специального железнодорожного подвижного состава, служебных и вспомогательных помещений изотермических вагонов.</w:t>
            </w:r>
          </w:p>
          <w:p>
            <w:pPr>
              <w:spacing w:after="20"/>
              <w:ind w:left="20"/>
              <w:jc w:val="both"/>
            </w:pPr>
            <w:r>
              <w:rPr>
                <w:rFonts w:ascii="Times New Roman"/>
                <w:b w:val="false"/>
                <w:i w:val="false"/>
                <w:color w:val="000000"/>
                <w:sz w:val="20"/>
              </w:rPr>
              <w:t>
Оборудование пассажирских вагонов огнезадерживающей перегородкой между купе проводников и пассажирским салоном при наличии купе проводников, а в купейных вагонах - и между купе. С разделением надпотолочного пространства в вагонах некупейного типа и над большим (основным) коридором вагона купейного типа не менее чем на 3 зоны путем установки огнезадерживающих фрамуг.</w:t>
            </w:r>
          </w:p>
          <w:p>
            <w:pPr>
              <w:spacing w:after="20"/>
              <w:ind w:left="20"/>
              <w:jc w:val="both"/>
            </w:pPr>
            <w:r>
              <w:rPr>
                <w:rFonts w:ascii="Times New Roman"/>
                <w:b w:val="false"/>
                <w:i w:val="false"/>
                <w:color w:val="000000"/>
                <w:sz w:val="20"/>
              </w:rPr>
              <w:t>
Отделение кабины машиниста локомотивов с кузовом вагонного типа, моторвагонного подвижного состава огнезадерживающей перегородкой от остальной части локомотива с кузовом вагонного типа или моторвагонного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и моторвагонном подвижном составе безопасного прохода обсуживающего персонала и пассажиров из вагона в вагон по переходным площадкам. С конструкцией переходных площадок закрытого типа, и исключением возможности случайного контакта обслуживающего персонала и пассажиров с внешними элементами железнодорожного подвижного состава, элементами инфраструктуры железнодорожного транспорта, такими, как контактная сеть, верхнее строение пути, а также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верхних спальных полок заградительными ремнями или бортиками, исключающими падение обслуживающего персонала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креслах и диванах пассажирских вагонов и моторвагонного подвижного состава прочных креплений к полу и конструкции, исключающих возможность их опрокидывания, в том числе при экстренном торможении. Обеспечение выполнения мест размещения и крепления личного багажа пассажиров и обслуживающего персонала с таким расчетом, чтобы не травмировать пассажиров и обслуживающий персонал при экстренном торможении и аварийной эвакуации.</w:t>
            </w:r>
          </w:p>
          <w:p>
            <w:pPr>
              <w:spacing w:after="20"/>
              <w:ind w:left="20"/>
              <w:jc w:val="both"/>
            </w:pPr>
            <w:r>
              <w:rPr>
                <w:rFonts w:ascii="Times New Roman"/>
                <w:b w:val="false"/>
                <w:i w:val="false"/>
                <w:color w:val="000000"/>
                <w:sz w:val="20"/>
              </w:rPr>
              <w:t>
Соответствие планировки пассажирских вагонов, вагонов моторвагонного подвижного состава и изотермических вагонов со служебными и вспомогательными помещениями, компоновки мест для пассажиров и обслуживающего персонала требованиям эргономики и системотехники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многосекционных локомотивов переходными площадками закрытого типа для обеспечения безопасного перехода локомотивной бригады из одной секции в другую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дизеля, электрических машин, вентиляторов, компрессоров и другого оборудования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локомотивах с кузовом капотного типа, боковых и торцевых площадок. Установкой на наружной стороне боковых и торцевых площадок поручней – барьеров с промежуточным ограждением и ограничительными планками по наружному периметру пола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локомотивов, моторвагонного подвижного состава, пассажирских и изотермических вагонов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железнодорожного подвижного состава, находящихся под напряжением, защиты от случайного доступа к ним обслуживающего персонала и пассажиров.</w:t>
            </w:r>
          </w:p>
          <w:p>
            <w:pPr>
              <w:spacing w:after="20"/>
              <w:ind w:left="20"/>
              <w:jc w:val="both"/>
            </w:pPr>
            <w:r>
              <w:rPr>
                <w:rFonts w:ascii="Times New Roman"/>
                <w:b w:val="false"/>
                <w:i w:val="false"/>
                <w:color w:val="000000"/>
                <w:sz w:val="20"/>
              </w:rPr>
              <w:t>
С заземлением на корпус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оборудование локомотивов, моторвагонного подвижного состава, пассажирских вагонов, специального железнодорожного подвижного состава и изотермических вагонов с автономной энергетической установкой специальными местами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значений уровня электромагнитных помех, создаваемых железнодорожным подвижным составом и его составными частями, в пределах которых эти помехи не оказывают влияние на работоспособность объектов инфраструктуры железнодорожного транспорта и эксплуатируемого на ней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железнодорожного подвижного состава требованию по взрывобезопасности аккумуляторного бокса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моторвагонного подвижного состава, специального железнодорожного подвижного состава, пассажирских и изотермических вагонов системами пожарной сигнализации, установками пожаротушения, специальными местами для размещения огнетушителей, противопожарного инвентаря.</w:t>
            </w:r>
          </w:p>
          <w:p>
            <w:pPr>
              <w:spacing w:after="20"/>
              <w:ind w:left="20"/>
              <w:jc w:val="both"/>
            </w:pPr>
            <w:r>
              <w:rPr>
                <w:rFonts w:ascii="Times New Roman"/>
                <w:b w:val="false"/>
                <w:i w:val="false"/>
                <w:color w:val="000000"/>
                <w:sz w:val="20"/>
              </w:rPr>
              <w:t>
Обеспечения системой пожарной сигнализации выдачи акустической и оптической информации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а также обеспечением возможности периодической проверки их 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локомотивов и изотермических вагонов с автономной энергетической установкой, дизель-поезда, дизель-электропоезда, рельсовых автобусов, специального самоходного железнодорожного подвижного состава искрогасителями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локомотивах с кузовом вагонного типа световой и звуковой сигнализации для вызова помощника машиниста из машинного (дизельного) помещения в кабину машиниста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системой вентиляции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подвижного состава, возможности попадания выхлопных газов и пыли в кабину машиниста, в помещения для обслуживающего персонала, а также в пассажирские салоны.</w:t>
            </w:r>
          </w:p>
          <w:p>
            <w:pPr>
              <w:spacing w:after="20"/>
              <w:ind w:left="20"/>
              <w:jc w:val="both"/>
            </w:pPr>
            <w:r>
              <w:rPr>
                <w:rFonts w:ascii="Times New Roman"/>
                <w:b w:val="false"/>
                <w:i w:val="false"/>
                <w:color w:val="000000"/>
                <w:sz w:val="20"/>
              </w:rPr>
              <w:t xml:space="preserve">
Исключение превышения допустимых значений характеристик состояния воздушной среды в машинном помещении локомотивов с автономной энергетической установкой, дизель-поездов, рельсовых автобусов, дизель-электропоездов, изотермических вагонов с автономной энергетической установкой и специального самоходного железнодорожного подвижного состава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конструкции системы охлаждения дизелей тепловозов с кузовом вагонного типа и изотермических вагонов с автономной энергетической установкой возможностью дозаправки системы охлаждения без необходимости нахождения обслуживающего персонала на крыше тепловоза или изотермического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внутрипоездная телефонная связь;</w:t>
            </w:r>
          </w:p>
          <w:p>
            <w:pPr>
              <w:spacing w:after="20"/>
              <w:ind w:left="20"/>
              <w:jc w:val="both"/>
            </w:pPr>
            <w:r>
              <w:rPr>
                <w:rFonts w:ascii="Times New Roman"/>
                <w:b w:val="false"/>
                <w:i w:val="false"/>
                <w:color w:val="000000"/>
                <w:sz w:val="20"/>
              </w:rPr>
              <w:t>
5) система контроля нагрева букс;</w:t>
            </w:r>
          </w:p>
          <w:p>
            <w:pPr>
              <w:spacing w:after="20"/>
              <w:ind w:left="20"/>
              <w:jc w:val="both"/>
            </w:pPr>
            <w:r>
              <w:rPr>
                <w:rFonts w:ascii="Times New Roman"/>
                <w:b w:val="false"/>
                <w:i w:val="false"/>
                <w:color w:val="000000"/>
                <w:sz w:val="20"/>
              </w:rPr>
              <w:t>
6) поездное радиовещание;</w:t>
            </w:r>
          </w:p>
          <w:p>
            <w:pPr>
              <w:spacing w:after="20"/>
              <w:ind w:left="20"/>
              <w:jc w:val="both"/>
            </w:pPr>
            <w:r>
              <w:rPr>
                <w:rFonts w:ascii="Times New Roman"/>
                <w:b w:val="false"/>
                <w:i w:val="false"/>
                <w:color w:val="000000"/>
                <w:sz w:val="20"/>
              </w:rPr>
              <w:t>
7) искрогасители дымо - выхлопных труб при применении автономных систем отопления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скоростных пассажирских вагонов централизованным электроснабжением.</w:t>
            </w:r>
          </w:p>
          <w:p>
            <w:pPr>
              <w:spacing w:after="20"/>
              <w:ind w:left="20"/>
              <w:jc w:val="both"/>
            </w:pPr>
            <w:r>
              <w:rPr>
                <w:rFonts w:ascii="Times New Roman"/>
                <w:b w:val="false"/>
                <w:i w:val="false"/>
                <w:color w:val="000000"/>
                <w:sz w:val="20"/>
              </w:rPr>
              <w:t>
Оборудование скоростного моторвагонного подвижного состава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p>
            <w:pPr>
              <w:spacing w:after="20"/>
              <w:ind w:left="20"/>
              <w:jc w:val="both"/>
            </w:pPr>
            <w:r>
              <w:rPr>
                <w:rFonts w:ascii="Times New Roman"/>
                <w:b w:val="false"/>
                <w:i w:val="false"/>
                <w:color w:val="000000"/>
                <w:sz w:val="20"/>
              </w:rPr>
              <w:t>
Головные вагоны моторвагонного подвижного состава с экологически чистыми туалетными комплексами.</w:t>
            </w:r>
          </w:p>
          <w:p>
            <w:pPr>
              <w:spacing w:after="20"/>
              <w:ind w:left="20"/>
              <w:jc w:val="both"/>
            </w:pPr>
            <w:r>
              <w:rPr>
                <w:rFonts w:ascii="Times New Roman"/>
                <w:b w:val="false"/>
                <w:i w:val="false"/>
                <w:color w:val="000000"/>
                <w:sz w:val="20"/>
              </w:rPr>
              <w:t>
Изотермические вагоны со служебными и вспомогательными помещениями следующими устройствами:</w:t>
            </w:r>
          </w:p>
          <w:p>
            <w:pPr>
              <w:spacing w:after="20"/>
              <w:ind w:left="20"/>
              <w:jc w:val="both"/>
            </w:pPr>
            <w:r>
              <w:rPr>
                <w:rFonts w:ascii="Times New Roman"/>
                <w:b w:val="false"/>
                <w:i w:val="false"/>
                <w:color w:val="000000"/>
                <w:sz w:val="20"/>
              </w:rPr>
              <w:t>
1) система кондиционирования воздуха (вентиляции, отопления, охлаждения);</w:t>
            </w:r>
          </w:p>
          <w:p>
            <w:pPr>
              <w:spacing w:after="20"/>
              <w:ind w:left="20"/>
              <w:jc w:val="both"/>
            </w:pPr>
            <w:r>
              <w:rPr>
                <w:rFonts w:ascii="Times New Roman"/>
                <w:b w:val="false"/>
                <w:i w:val="false"/>
                <w:color w:val="000000"/>
                <w:sz w:val="20"/>
              </w:rPr>
              <w:t>
2) система питьевого и хозяйственного водоснабжения;</w:t>
            </w:r>
          </w:p>
          <w:p>
            <w:pPr>
              <w:spacing w:after="20"/>
              <w:ind w:left="20"/>
              <w:jc w:val="both"/>
            </w:pPr>
            <w:r>
              <w:rPr>
                <w:rFonts w:ascii="Times New Roman"/>
                <w:b w:val="false"/>
                <w:i w:val="false"/>
                <w:color w:val="000000"/>
                <w:sz w:val="20"/>
              </w:rPr>
              <w:t>
3) экологически чистые туалетные комплексы;</w:t>
            </w:r>
          </w:p>
          <w:p>
            <w:pPr>
              <w:spacing w:after="20"/>
              <w:ind w:left="20"/>
              <w:jc w:val="both"/>
            </w:pPr>
            <w:r>
              <w:rPr>
                <w:rFonts w:ascii="Times New Roman"/>
                <w:b w:val="false"/>
                <w:i w:val="false"/>
                <w:color w:val="000000"/>
                <w:sz w:val="20"/>
              </w:rPr>
              <w:t>
4) система контроля нагрева букс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вагонами, предназначенными для перевозки продовольственного сырья и пищевых продуктов, температуры, влажности, показателей воздухообмена в пределах допустимых значений для каждого вида продовольственного сырья и пищевых продуктов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обслуживаемых без проводников, расположенными непосредственно в пассажирском салоне устройствами для связи пассажиров с локомотивной или поездной бригадой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пассажирских вагонов и вагонов моторвагонного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пассажирских вагонов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Обеспечение аварийного открывания входных дверей пассажирских вагонов и вагонов моторвагонного подвижного состава по штатной схеме с их фиксацией в открытом положении. Обеспечение аварийного открывания входных дверей прислонного типа в ручном режиме при скорости движения поезда в пределах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 моторвагонного подвижного состава местами, предназначенными для проезда лиц с инвалидностью и пассажиров с детьми.</w:t>
            </w:r>
          </w:p>
          <w:p>
            <w:pPr>
              <w:spacing w:after="20"/>
              <w:ind w:left="20"/>
              <w:jc w:val="both"/>
            </w:pPr>
            <w:r>
              <w:rPr>
                <w:rFonts w:ascii="Times New Roman"/>
                <w:b w:val="false"/>
                <w:i w:val="false"/>
                <w:color w:val="000000"/>
                <w:sz w:val="20"/>
              </w:rPr>
              <w:t>
Оборудование пассажирских вагонов и вагонов моторвагонного подвижного состава, предназначенных для проезда граждан, имеющих ограничения в подвижности, следующими устройствами:</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3) проходы увеличенной ширины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железнодорожного подвижного состава визуальными и звуковыми сигнальными устройствами.</w:t>
            </w:r>
          </w:p>
          <w:p>
            <w:pPr>
              <w:spacing w:after="20"/>
              <w:ind w:left="20"/>
              <w:jc w:val="both"/>
            </w:pPr>
            <w:r>
              <w:rPr>
                <w:rFonts w:ascii="Times New Roman"/>
                <w:b w:val="false"/>
                <w:i w:val="false"/>
                <w:color w:val="000000"/>
                <w:sz w:val="20"/>
              </w:rPr>
              <w:t>
Оборудование лобовых частей локомотивов с кузовом вагонного типа, головных вагонов моторвагонного подвижного состава и специального самоходного железнодорожного подвижного состава, а также торцевых частей локомотивов с кузовом капотного типа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сигнальных фонарей также на задней торцевой стенке каждой из секций локомотива, которая может использоваться как самостоятельная единица.</w:t>
            </w:r>
          </w:p>
          <w:p>
            <w:pPr>
              <w:spacing w:after="20"/>
              <w:ind w:left="20"/>
              <w:jc w:val="both"/>
            </w:pPr>
            <w:r>
              <w:rPr>
                <w:rFonts w:ascii="Times New Roman"/>
                <w:b w:val="false"/>
                <w:i w:val="false"/>
                <w:color w:val="000000"/>
                <w:sz w:val="20"/>
              </w:rPr>
              <w:t>
Установка прожектора по продольной оси симметрии локомотива, головного вагона моторвагонного подвижного состава и специального самоходного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замены лампы прожектора из кабины машиниста и регулировки направления светового луча.</w:t>
            </w:r>
          </w:p>
          <w:p>
            <w:pPr>
              <w:spacing w:after="20"/>
              <w:ind w:left="20"/>
              <w:jc w:val="both"/>
            </w:pPr>
            <w:r>
              <w:rPr>
                <w:rFonts w:ascii="Times New Roman"/>
                <w:b w:val="false"/>
                <w:i w:val="false"/>
                <w:color w:val="000000"/>
                <w:sz w:val="20"/>
              </w:rPr>
              <w:t>
Наличие на пассажирских вагонах трех сигнальных фонарей, установленных на обеих торцевых стенках вагонов.</w:t>
            </w:r>
          </w:p>
          <w:p>
            <w:pPr>
              <w:spacing w:after="20"/>
              <w:ind w:left="20"/>
              <w:jc w:val="both"/>
            </w:pPr>
            <w:r>
              <w:rPr>
                <w:rFonts w:ascii="Times New Roman"/>
                <w:b w:val="false"/>
                <w:i w:val="false"/>
                <w:color w:val="000000"/>
                <w:sz w:val="20"/>
              </w:rPr>
              <w:t>
Оборудование грузовых вагонов кронштейнами для установки знаков ограждения.</w:t>
            </w:r>
          </w:p>
          <w:p>
            <w:pPr>
              <w:spacing w:after="20"/>
              <w:ind w:left="20"/>
              <w:jc w:val="both"/>
            </w:pPr>
            <w:r>
              <w:rPr>
                <w:rFonts w:ascii="Times New Roman"/>
                <w:b w:val="false"/>
                <w:i w:val="false"/>
                <w:color w:val="000000"/>
                <w:sz w:val="20"/>
              </w:rPr>
              <w:t>
Оборудование локомотивов, моторвагонного подвижного состава и специального самоходного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локомотивов и моторвагонного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отделение машинного (дизельное) помещения на тепловозах с кузовом вагонного типа, дизель-поездах, автомотрисах, рельсовых автобусах, дизель - электропоездах, изотермических вагонах с автономной энергетической установкой, специальном самоходном железнодорожном подвижном составе от кабины машиниста или помещений для обслуживающего персонала тамбуром. Обеспечение свободного прохода из тамбура в кабину машиниста или помещение для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боковых дверей крытого грузового, изотермического, почтового и багажного вагонов, устройствами для ограничения перемещения двери при полном ее открывании. Оборудование крытых грузовых вагонов, имеющих боковые двери, несъемным оборудованием для установки нар, оконных рам, дверных закладок, ружейных зубчаток и печных комплектов.</w:t>
            </w:r>
          </w:p>
          <w:p>
            <w:pPr>
              <w:spacing w:after="20"/>
              <w:ind w:left="20"/>
              <w:jc w:val="both"/>
            </w:pPr>
            <w:r>
              <w:rPr>
                <w:rFonts w:ascii="Times New Roman"/>
                <w:b w:val="false"/>
                <w:i w:val="false"/>
                <w:color w:val="000000"/>
                <w:sz w:val="20"/>
              </w:rPr>
              <w:t>
Оборудование крытых грузовых вагонов, имеющих на крыше люки для загрузки сыпучих грузов, помостами на крыше вагона и лестницами для подъема на эти помосты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вагонов-цистерн по обеим сторонам снаружи котла лестницами с рифлеными ступеньками и поручнями. Оборудование в зависимости от назначения котлов и рам цистерн системами заземления соответствующей конструкции.</w:t>
            </w:r>
          </w:p>
          <w:p>
            <w:pPr>
              <w:spacing w:after="20"/>
              <w:ind w:left="20"/>
              <w:jc w:val="both"/>
            </w:pPr>
            <w:r>
              <w:rPr>
                <w:rFonts w:ascii="Times New Roman"/>
                <w:b w:val="false"/>
                <w:i w:val="false"/>
                <w:color w:val="000000"/>
                <w:sz w:val="20"/>
              </w:rPr>
              <w:t>
Оборудование котла вагона-цистерны нижним или верхним сливным устройством, сливо-наливной арматурой, предохранительными впускными-выпускными клапанами, другой необходимой арматурой, а также внутренней лестницей, а котлы для сжиженных газов - также предохранительными мембранами, и обеспечивать герметичность котлов.</w:t>
            </w:r>
          </w:p>
          <w:p>
            <w:pPr>
              <w:spacing w:after="20"/>
              <w:ind w:left="20"/>
              <w:jc w:val="both"/>
            </w:pPr>
            <w:r>
              <w:rPr>
                <w:rFonts w:ascii="Times New Roman"/>
                <w:b w:val="false"/>
                <w:i w:val="false"/>
                <w:color w:val="000000"/>
                <w:sz w:val="20"/>
              </w:rPr>
              <w:t>
Оборудование котлов специальных типов вагонов-цистерн запорной и запорно-регулирующей арматурой, с возможностью установки приборов контроля.</w:t>
            </w:r>
          </w:p>
          <w:p>
            <w:pPr>
              <w:spacing w:after="20"/>
              <w:ind w:left="20"/>
              <w:jc w:val="both"/>
            </w:pPr>
            <w:r>
              <w:rPr>
                <w:rFonts w:ascii="Times New Roman"/>
                <w:b w:val="false"/>
                <w:i w:val="false"/>
                <w:color w:val="000000"/>
                <w:sz w:val="20"/>
              </w:rPr>
              <w:t>
Оборудование котлов вагонов-цистерн предохранительными устройствами, предотвращающими при сходе вагона излом сливо-наливной арматуры и вытекание перевозимых жидкостей и газов из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соответствия, с учетом степени риска причинения вреда, минимально необходимым требованиям к продукции высокоскоростного железнодорожного транспорта выполнение которых обеспечивает:</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гидрометеорологическую безопасность;</w:t>
            </w:r>
          </w:p>
          <w:p>
            <w:pPr>
              <w:spacing w:after="20"/>
              <w:ind w:left="20"/>
              <w:jc w:val="both"/>
            </w:pPr>
            <w:r>
              <w:rPr>
                <w:rFonts w:ascii="Times New Roman"/>
                <w:b w:val="false"/>
                <w:i w:val="false"/>
                <w:color w:val="000000"/>
                <w:sz w:val="20"/>
              </w:rPr>
              <w:t>
5) механическую безопасность;</w:t>
            </w:r>
          </w:p>
          <w:p>
            <w:pPr>
              <w:spacing w:after="20"/>
              <w:ind w:left="20"/>
              <w:jc w:val="both"/>
            </w:pPr>
            <w:r>
              <w:rPr>
                <w:rFonts w:ascii="Times New Roman"/>
                <w:b w:val="false"/>
                <w:i w:val="false"/>
                <w:color w:val="000000"/>
                <w:sz w:val="20"/>
              </w:rPr>
              <w:t>
6) пожарную безопасность;</w:t>
            </w:r>
          </w:p>
          <w:p>
            <w:pPr>
              <w:spacing w:after="20"/>
              <w:ind w:left="20"/>
              <w:jc w:val="both"/>
            </w:pPr>
            <w:r>
              <w:rPr>
                <w:rFonts w:ascii="Times New Roman"/>
                <w:b w:val="false"/>
                <w:i w:val="false"/>
                <w:color w:val="000000"/>
                <w:sz w:val="20"/>
              </w:rPr>
              <w:t>
7) промышленную безопасность;</w:t>
            </w:r>
          </w:p>
          <w:p>
            <w:pPr>
              <w:spacing w:after="20"/>
              <w:ind w:left="20"/>
              <w:jc w:val="both"/>
            </w:pPr>
            <w:r>
              <w:rPr>
                <w:rFonts w:ascii="Times New Roman"/>
                <w:b w:val="false"/>
                <w:i w:val="false"/>
                <w:color w:val="000000"/>
                <w:sz w:val="20"/>
              </w:rPr>
              <w:t>
8) термическую безопасность;</w:t>
            </w:r>
          </w:p>
          <w:p>
            <w:pPr>
              <w:spacing w:after="20"/>
              <w:ind w:left="20"/>
              <w:jc w:val="both"/>
            </w:pPr>
            <w:r>
              <w:rPr>
                <w:rFonts w:ascii="Times New Roman"/>
                <w:b w:val="false"/>
                <w:i w:val="false"/>
                <w:color w:val="000000"/>
                <w:sz w:val="20"/>
              </w:rPr>
              <w:t>
9) химическую безопасность;</w:t>
            </w:r>
          </w:p>
          <w:p>
            <w:pPr>
              <w:spacing w:after="20"/>
              <w:ind w:left="20"/>
              <w:jc w:val="both"/>
            </w:pPr>
            <w:r>
              <w:rPr>
                <w:rFonts w:ascii="Times New Roman"/>
                <w:b w:val="false"/>
                <w:i w:val="false"/>
                <w:color w:val="000000"/>
                <w:sz w:val="20"/>
              </w:rPr>
              <w:t>
10) электрическую безопасность;</w:t>
            </w:r>
          </w:p>
          <w:p>
            <w:pPr>
              <w:spacing w:after="20"/>
              <w:ind w:left="20"/>
              <w:jc w:val="both"/>
            </w:pPr>
            <w:r>
              <w:rPr>
                <w:rFonts w:ascii="Times New Roman"/>
                <w:b w:val="false"/>
                <w:i w:val="false"/>
                <w:color w:val="000000"/>
                <w:sz w:val="20"/>
              </w:rPr>
              <w:t>
11)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12) единство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оценке степени риска расчетным, экспериментальным и экспертным путем, в том числе по данным эксплуатации аналогичных объектов инфраструктуры высокоскоростного железнодорожного транспорта и продукции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безопасности объектов инфраструктуры высокоскоростного железнодорожного транспорта и продукции путем:</w:t>
            </w:r>
          </w:p>
          <w:p>
            <w:pPr>
              <w:spacing w:after="20"/>
              <w:ind w:left="20"/>
              <w:jc w:val="both"/>
            </w:pPr>
            <w:r>
              <w:rPr>
                <w:rFonts w:ascii="Times New Roman"/>
                <w:b w:val="false"/>
                <w:i w:val="false"/>
                <w:color w:val="000000"/>
                <w:sz w:val="20"/>
              </w:rPr>
              <w:t>
1) осуществления комплекса научно-исследовательских и опытно-конструкторских работ при проектировании объектов инфраструктуры высокоскоростного железнодорожного транспорта и продукции;</w:t>
            </w:r>
          </w:p>
          <w:p>
            <w:pPr>
              <w:spacing w:after="20"/>
              <w:ind w:left="20"/>
              <w:jc w:val="both"/>
            </w:pPr>
            <w:r>
              <w:rPr>
                <w:rFonts w:ascii="Times New Roman"/>
                <w:b w:val="false"/>
                <w:i w:val="false"/>
                <w:color w:val="000000"/>
                <w:sz w:val="20"/>
              </w:rPr>
              <w:t>
2) применения апробированных технических решений;</w:t>
            </w:r>
          </w:p>
          <w:p>
            <w:pPr>
              <w:spacing w:after="20"/>
              <w:ind w:left="20"/>
              <w:jc w:val="both"/>
            </w:pPr>
            <w:r>
              <w:rPr>
                <w:rFonts w:ascii="Times New Roman"/>
                <w:b w:val="false"/>
                <w:i w:val="false"/>
                <w:color w:val="000000"/>
                <w:sz w:val="20"/>
              </w:rPr>
              <w:t>
3) установления назначенных сроков службы и (или) ресурсов продукции, а также проведения технических обслуживаний и ремонтов с необходимой периодичностью;</w:t>
            </w:r>
          </w:p>
          <w:p>
            <w:pPr>
              <w:spacing w:after="20"/>
              <w:ind w:left="20"/>
              <w:jc w:val="both"/>
            </w:pPr>
            <w:r>
              <w:rPr>
                <w:rFonts w:ascii="Times New Roman"/>
                <w:b w:val="false"/>
                <w:i w:val="false"/>
                <w:color w:val="000000"/>
                <w:sz w:val="20"/>
              </w:rPr>
              <w:t>
4) проведения комплекса расчетов, основанных на апробированных методиках;</w:t>
            </w:r>
          </w:p>
          <w:p>
            <w:pPr>
              <w:spacing w:after="20"/>
              <w:ind w:left="20"/>
              <w:jc w:val="both"/>
            </w:pPr>
            <w:r>
              <w:rPr>
                <w:rFonts w:ascii="Times New Roman"/>
                <w:b w:val="false"/>
                <w:i w:val="false"/>
                <w:color w:val="000000"/>
                <w:sz w:val="20"/>
              </w:rPr>
              <w:t>
5) выбора материалов и веществ, применяемых при проектировании (включая изыскания), производстве, строительстве, монтаже, наладке и вводе в эксплуатацию объектов инфраструктуры высокоскоростного железнодорожного транспорта и продукции в зависимости от параметров и условий эксплуатации;</w:t>
            </w:r>
          </w:p>
          <w:p>
            <w:pPr>
              <w:spacing w:after="20"/>
              <w:ind w:left="20"/>
              <w:jc w:val="both"/>
            </w:pPr>
            <w:r>
              <w:rPr>
                <w:rFonts w:ascii="Times New Roman"/>
                <w:b w:val="false"/>
                <w:i w:val="false"/>
                <w:color w:val="000000"/>
                <w:sz w:val="20"/>
              </w:rPr>
              <w:t>
6) установления критериев предельных состояний;</w:t>
            </w:r>
          </w:p>
          <w:p>
            <w:pPr>
              <w:spacing w:after="20"/>
              <w:ind w:left="20"/>
              <w:jc w:val="both"/>
            </w:pPr>
            <w:r>
              <w:rPr>
                <w:rFonts w:ascii="Times New Roman"/>
                <w:b w:val="false"/>
                <w:i w:val="false"/>
                <w:color w:val="000000"/>
                <w:sz w:val="20"/>
              </w:rPr>
              <w:t>
7) соблюдения требований проектной документации с контролем посредством авторского надзора, осуществляемого проектировщиком;</w:t>
            </w:r>
          </w:p>
          <w:p>
            <w:pPr>
              <w:spacing w:after="20"/>
              <w:ind w:left="20"/>
              <w:jc w:val="both"/>
            </w:pPr>
            <w:r>
              <w:rPr>
                <w:rFonts w:ascii="Times New Roman"/>
                <w:b w:val="false"/>
                <w:i w:val="false"/>
                <w:color w:val="000000"/>
                <w:sz w:val="20"/>
              </w:rPr>
              <w:t>
8) определения условий и способов утилизации продукции;</w:t>
            </w:r>
          </w:p>
          <w:p>
            <w:pPr>
              <w:spacing w:after="20"/>
              <w:ind w:left="20"/>
              <w:jc w:val="both"/>
            </w:pPr>
            <w:r>
              <w:rPr>
                <w:rFonts w:ascii="Times New Roman"/>
                <w:b w:val="false"/>
                <w:i w:val="false"/>
                <w:color w:val="000000"/>
                <w:sz w:val="20"/>
              </w:rPr>
              <w:t>
9) установления параметров опасных погодных явлений для высокоскоростного железнодорожного подвижного состава и организации инструментального мониторинга за возникновением этих опасных погодных явлений;</w:t>
            </w:r>
          </w:p>
          <w:p>
            <w:pPr>
              <w:spacing w:after="20"/>
              <w:ind w:left="20"/>
              <w:jc w:val="both"/>
            </w:pPr>
            <w:r>
              <w:rPr>
                <w:rFonts w:ascii="Times New Roman"/>
                <w:b w:val="false"/>
                <w:i w:val="false"/>
                <w:color w:val="000000"/>
                <w:sz w:val="20"/>
              </w:rPr>
              <w:t>
10) проведения оценки соответствия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высокоскоростного железнодорожного транспорта и продукции требованиям по прочности, устойчивости и техническому состоянию при безопасности движения высокоскоростного железнодорожного подвижного состава с наибольшими скоростями в пределах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объектами инфраструктуры высокоскоростного железнодорожного транспорта и продукции следующего:</w:t>
            </w:r>
          </w:p>
          <w:p>
            <w:pPr>
              <w:spacing w:after="20"/>
              <w:ind w:left="20"/>
              <w:jc w:val="both"/>
            </w:pPr>
            <w:r>
              <w:rPr>
                <w:rFonts w:ascii="Times New Roman"/>
                <w:b w:val="false"/>
                <w:i w:val="false"/>
                <w:color w:val="000000"/>
                <w:sz w:val="20"/>
              </w:rPr>
              <w:t>
1) соблюдение габарита железнодорожного подвижного состава;</w:t>
            </w:r>
          </w:p>
          <w:p>
            <w:pPr>
              <w:spacing w:after="20"/>
              <w:ind w:left="20"/>
              <w:jc w:val="both"/>
            </w:pPr>
            <w:r>
              <w:rPr>
                <w:rFonts w:ascii="Times New Roman"/>
                <w:b w:val="false"/>
                <w:i w:val="false"/>
                <w:color w:val="000000"/>
                <w:sz w:val="20"/>
              </w:rPr>
              <w:t>
2) соблюдение габарита приближения строений;</w:t>
            </w:r>
          </w:p>
          <w:p>
            <w:pPr>
              <w:spacing w:after="20"/>
              <w:ind w:left="20"/>
              <w:jc w:val="both"/>
            </w:pPr>
            <w:r>
              <w:rPr>
                <w:rFonts w:ascii="Times New Roman"/>
                <w:b w:val="false"/>
                <w:i w:val="false"/>
                <w:color w:val="000000"/>
                <w:sz w:val="20"/>
              </w:rPr>
              <w:t>
3) выполнение условий эксплуатации с учетом внешних климатических, геофизических и механических воздействий;</w:t>
            </w:r>
          </w:p>
          <w:p>
            <w:pPr>
              <w:spacing w:after="20"/>
              <w:ind w:left="20"/>
              <w:jc w:val="both"/>
            </w:pPr>
            <w:r>
              <w:rPr>
                <w:rFonts w:ascii="Times New Roman"/>
                <w:b w:val="false"/>
                <w:i w:val="false"/>
                <w:color w:val="000000"/>
                <w:sz w:val="20"/>
              </w:rPr>
              <w:t>
4) техническую совместимость с инфраструктурой железнодорожного транспорта и другим железнодорожным подвижным составом, эксплуатирующимся на этой инфраструктуре;</w:t>
            </w:r>
          </w:p>
          <w:p>
            <w:pPr>
              <w:spacing w:after="20"/>
              <w:ind w:left="20"/>
              <w:jc w:val="both"/>
            </w:pPr>
            <w:r>
              <w:rPr>
                <w:rFonts w:ascii="Times New Roman"/>
                <w:b w:val="false"/>
                <w:i w:val="false"/>
                <w:color w:val="000000"/>
                <w:sz w:val="20"/>
              </w:rPr>
              <w:t>
5) устойчивость от схода колеса с рельса;</w:t>
            </w:r>
          </w:p>
          <w:p>
            <w:pPr>
              <w:spacing w:after="20"/>
              <w:ind w:left="20"/>
              <w:jc w:val="both"/>
            </w:pPr>
            <w:r>
              <w:rPr>
                <w:rFonts w:ascii="Times New Roman"/>
                <w:b w:val="false"/>
                <w:i w:val="false"/>
                <w:color w:val="000000"/>
                <w:sz w:val="20"/>
              </w:rPr>
              <w:t>
6) устойчивость высокоскоростного железнодорожного подвижного состава от опрокидывания в криволинейных участках пути;</w:t>
            </w:r>
          </w:p>
          <w:p>
            <w:pPr>
              <w:spacing w:after="20"/>
              <w:ind w:left="20"/>
              <w:jc w:val="both"/>
            </w:pPr>
            <w:r>
              <w:rPr>
                <w:rFonts w:ascii="Times New Roman"/>
                <w:b w:val="false"/>
                <w:i w:val="false"/>
                <w:color w:val="000000"/>
                <w:sz w:val="20"/>
              </w:rPr>
              <w:t>
7) предотвращение самопроизвольного ухода с места стоянки;</w:t>
            </w:r>
          </w:p>
          <w:p>
            <w:pPr>
              <w:spacing w:after="20"/>
              <w:ind w:left="20"/>
              <w:jc w:val="both"/>
            </w:pPr>
            <w:r>
              <w:rPr>
                <w:rFonts w:ascii="Times New Roman"/>
                <w:b w:val="false"/>
                <w:i w:val="false"/>
                <w:color w:val="000000"/>
                <w:sz w:val="20"/>
              </w:rPr>
              <w:t>
8) сцепление высокоскоростного железнодорожного подвижного состава для передачи динамических усилий на режимах тяги и торможения;</w:t>
            </w:r>
          </w:p>
          <w:p>
            <w:pPr>
              <w:spacing w:after="20"/>
              <w:ind w:left="20"/>
              <w:jc w:val="both"/>
            </w:pPr>
            <w:r>
              <w:rPr>
                <w:rFonts w:ascii="Times New Roman"/>
                <w:b w:val="false"/>
                <w:i w:val="false"/>
                <w:color w:val="000000"/>
                <w:sz w:val="20"/>
              </w:rPr>
              <w:t>
9) допускаемый тормозной путь;</w:t>
            </w:r>
          </w:p>
          <w:p>
            <w:pPr>
              <w:spacing w:after="20"/>
              <w:ind w:left="20"/>
              <w:jc w:val="both"/>
            </w:pPr>
            <w:r>
              <w:rPr>
                <w:rFonts w:ascii="Times New Roman"/>
                <w:b w:val="false"/>
                <w:i w:val="false"/>
                <w:color w:val="000000"/>
                <w:sz w:val="20"/>
              </w:rPr>
              <w:t>
10) непревышение погонных нагрузок, предельно допустимых сил по воздействию на путь, расчетных осевых нагрузок;</w:t>
            </w:r>
          </w:p>
          <w:p>
            <w:pPr>
              <w:spacing w:after="20"/>
              <w:ind w:left="20"/>
              <w:jc w:val="both"/>
            </w:pPr>
            <w:r>
              <w:rPr>
                <w:rFonts w:ascii="Times New Roman"/>
                <w:b w:val="false"/>
                <w:i w:val="false"/>
                <w:color w:val="000000"/>
                <w:sz w:val="20"/>
              </w:rPr>
              <w:t>
11) предотвращение падения составных частей высокоскоростного железнодорожного подвижного состава на железнодорожный путь;</w:t>
            </w:r>
          </w:p>
          <w:p>
            <w:pPr>
              <w:spacing w:after="20"/>
              <w:ind w:left="20"/>
              <w:jc w:val="both"/>
            </w:pPr>
            <w:r>
              <w:rPr>
                <w:rFonts w:ascii="Times New Roman"/>
                <w:b w:val="false"/>
                <w:i w:val="false"/>
                <w:color w:val="000000"/>
                <w:sz w:val="20"/>
              </w:rPr>
              <w:t>
12) соответствие предельно допускаемым силам тяги, торможения и величинам ускорения;</w:t>
            </w:r>
          </w:p>
          <w:p>
            <w:pPr>
              <w:spacing w:after="20"/>
              <w:ind w:left="20"/>
              <w:jc w:val="both"/>
            </w:pPr>
            <w:r>
              <w:rPr>
                <w:rFonts w:ascii="Times New Roman"/>
                <w:b w:val="false"/>
                <w:i w:val="false"/>
                <w:color w:val="000000"/>
                <w:sz w:val="20"/>
              </w:rPr>
              <w:t>
13) санитарно-эпидемиологическую, экологическую и гидрометеорологическую безопасность;</w:t>
            </w:r>
          </w:p>
          <w:p>
            <w:pPr>
              <w:spacing w:after="20"/>
              <w:ind w:left="20"/>
              <w:jc w:val="both"/>
            </w:pPr>
            <w:r>
              <w:rPr>
                <w:rFonts w:ascii="Times New Roman"/>
                <w:b w:val="false"/>
                <w:i w:val="false"/>
                <w:color w:val="000000"/>
                <w:sz w:val="20"/>
              </w:rPr>
              <w:t>
14) электромагнитную совместимость электрооборудования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15) электромагнитную совместимость электрооборудования с устройствами железнодорожной автоматики и телемеханики, железнодорожной электросвязи инфраструктуры высокоскоростного железнодорожного транспорта;</w:t>
            </w:r>
          </w:p>
          <w:p>
            <w:pPr>
              <w:spacing w:after="20"/>
              <w:ind w:left="20"/>
              <w:jc w:val="both"/>
            </w:pPr>
            <w:r>
              <w:rPr>
                <w:rFonts w:ascii="Times New Roman"/>
                <w:b w:val="false"/>
                <w:i w:val="false"/>
                <w:color w:val="000000"/>
                <w:sz w:val="20"/>
              </w:rPr>
              <w:t>
16) выполнение требований пожарной безопасности;</w:t>
            </w:r>
          </w:p>
          <w:p>
            <w:pPr>
              <w:spacing w:after="20"/>
              <w:ind w:left="20"/>
              <w:jc w:val="both"/>
            </w:pPr>
            <w:r>
              <w:rPr>
                <w:rFonts w:ascii="Times New Roman"/>
                <w:b w:val="false"/>
                <w:i w:val="false"/>
                <w:color w:val="000000"/>
                <w:sz w:val="20"/>
              </w:rPr>
              <w:t>
17) прочность при допустимых режимах нагружения и воздействиях;</w:t>
            </w:r>
          </w:p>
          <w:p>
            <w:pPr>
              <w:spacing w:after="20"/>
              <w:ind w:left="20"/>
              <w:jc w:val="both"/>
            </w:pPr>
            <w:r>
              <w:rPr>
                <w:rFonts w:ascii="Times New Roman"/>
                <w:b w:val="false"/>
                <w:i w:val="false"/>
                <w:color w:val="000000"/>
                <w:sz w:val="20"/>
              </w:rPr>
              <w:t>
18) отсутствие пластических деформаций при приложении продольных и вертикальных расчетных динамических нагрузок;</w:t>
            </w:r>
          </w:p>
          <w:p>
            <w:pPr>
              <w:spacing w:after="20"/>
              <w:ind w:left="20"/>
              <w:jc w:val="both"/>
            </w:pPr>
            <w:r>
              <w:rPr>
                <w:rFonts w:ascii="Times New Roman"/>
                <w:b w:val="false"/>
                <w:i w:val="false"/>
                <w:color w:val="000000"/>
                <w:sz w:val="20"/>
              </w:rPr>
              <w:t>
19) сопротивление усталости при малоцикловых и многоцикловых режимах нагружения;</w:t>
            </w:r>
          </w:p>
          <w:p>
            <w:pPr>
              <w:spacing w:after="20"/>
              <w:ind w:left="20"/>
              <w:jc w:val="both"/>
            </w:pPr>
            <w:r>
              <w:rPr>
                <w:rFonts w:ascii="Times New Roman"/>
                <w:b w:val="false"/>
                <w:i w:val="false"/>
                <w:color w:val="000000"/>
                <w:sz w:val="20"/>
              </w:rPr>
              <w:t>
20) безопасность и надежность работы электрооборудования во всем диапазоне режимов эксплуатации (при номинальных и граничных режимах электроснабжения);</w:t>
            </w:r>
          </w:p>
          <w:p>
            <w:pPr>
              <w:spacing w:after="20"/>
              <w:ind w:left="20"/>
              <w:jc w:val="both"/>
            </w:pPr>
            <w:r>
              <w:rPr>
                <w:rFonts w:ascii="Times New Roman"/>
                <w:b w:val="false"/>
                <w:i w:val="false"/>
                <w:color w:val="000000"/>
                <w:sz w:val="20"/>
              </w:rPr>
              <w:t>
21) отсутствие касаний составных частей высокоскоростного железнодорожного подвижного состава между собой и с элементами инфраструктуры высокоскоростного железнодорожного транспорта, не предусмотренного конструкторской документацией;</w:t>
            </w:r>
          </w:p>
          <w:p>
            <w:pPr>
              <w:spacing w:after="20"/>
              <w:ind w:left="20"/>
              <w:jc w:val="both"/>
            </w:pPr>
            <w:r>
              <w:rPr>
                <w:rFonts w:ascii="Times New Roman"/>
                <w:b w:val="false"/>
                <w:i w:val="false"/>
                <w:color w:val="000000"/>
                <w:sz w:val="20"/>
              </w:rPr>
              <w:t>
22) сцепление высокоскоростного железнодорожного подвижного состава в криволинейных участках железнодорожного пути;</w:t>
            </w:r>
          </w:p>
          <w:p>
            <w:pPr>
              <w:spacing w:after="20"/>
              <w:ind w:left="20"/>
              <w:jc w:val="both"/>
            </w:pPr>
            <w:r>
              <w:rPr>
                <w:rFonts w:ascii="Times New Roman"/>
                <w:b w:val="false"/>
                <w:i w:val="false"/>
                <w:color w:val="000000"/>
                <w:sz w:val="20"/>
              </w:rPr>
              <w:t>
23) соответствие требованиям энергетической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выбору решения при проектировании объектов инфраструктуры высокоскоростного железнодорожного транспорта и продукции, обеспечивающего допустимый уровень вредных и опасных воздействий на жизнь и здоровье человека, животных и растений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конструкций объектов инфраструктуры высокоскоростного железнодорожного транспорта и продукции безопасности в течение назначенного срока службы и ресурса, назначенного срока хранения, а также выдерживания воздействия и нагрузки, которым они подвергаются в процессе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высокоскоростного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объектов инфраструктуры высокоскоростного железнодорожного транспорта и продукции, при необходимости, программных средства, обеспечивающих безопасность функционирования объектов инфраструктуры высокоскоростного железнодорожного транспорта 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при проектировании требований безопасности при внесении изменений в проектную документацию строительства объектов инфраструктуры высокоскоростного железнодорожного транспорта 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обязательного подтверждения соответствия при внесении изменений в конструкцию или технологию изготовления продукции инфраструктуры высокоскоростного железнодорожного транспорта, влияющих на безопасность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высокоскоростного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наименование изделия и (или) обозначение серии или типа, номер;</w:t>
            </w:r>
          </w:p>
          <w:p>
            <w:pPr>
              <w:spacing w:after="20"/>
              <w:ind w:left="20"/>
              <w:jc w:val="both"/>
            </w:pPr>
            <w:r>
              <w:rPr>
                <w:rFonts w:ascii="Times New Roman"/>
                <w:b w:val="false"/>
                <w:i w:val="false"/>
                <w:color w:val="000000"/>
                <w:sz w:val="20"/>
              </w:rPr>
              <w:t>
4) дата изготовления;</w:t>
            </w:r>
          </w:p>
          <w:p>
            <w:pPr>
              <w:spacing w:after="20"/>
              <w:ind w:left="20"/>
              <w:jc w:val="both"/>
            </w:pPr>
            <w:r>
              <w:rPr>
                <w:rFonts w:ascii="Times New Roman"/>
                <w:b w:val="false"/>
                <w:i w:val="false"/>
                <w:color w:val="000000"/>
                <w:sz w:val="20"/>
              </w:rPr>
              <w:t>
5) масса тары;</w:t>
            </w:r>
          </w:p>
          <w:p>
            <w:pPr>
              <w:spacing w:after="20"/>
              <w:ind w:left="20"/>
              <w:jc w:val="both"/>
            </w:pPr>
            <w:r>
              <w:rPr>
                <w:rFonts w:ascii="Times New Roman"/>
                <w:b w:val="false"/>
                <w:i w:val="false"/>
                <w:color w:val="000000"/>
                <w:sz w:val="20"/>
              </w:rPr>
              <w:t>
6) конструкционная скорость;</w:t>
            </w:r>
          </w:p>
          <w:p>
            <w:pPr>
              <w:spacing w:after="20"/>
              <w:ind w:left="20"/>
              <w:jc w:val="both"/>
            </w:pPr>
            <w:r>
              <w:rPr>
                <w:rFonts w:ascii="Times New Roman"/>
                <w:b w:val="false"/>
                <w:i w:val="false"/>
                <w:color w:val="000000"/>
                <w:sz w:val="20"/>
              </w:rPr>
              <w:t>
7) табличка или надпись о проведенных ремонтах;</w:t>
            </w:r>
          </w:p>
          <w:p>
            <w:pPr>
              <w:spacing w:after="20"/>
              <w:ind w:left="20"/>
              <w:jc w:val="both"/>
            </w:pPr>
            <w:r>
              <w:rPr>
                <w:rFonts w:ascii="Times New Roman"/>
                <w:b w:val="false"/>
                <w:i w:val="false"/>
                <w:color w:val="000000"/>
                <w:sz w:val="20"/>
              </w:rPr>
              <w:t>
8) число мест для пассажиров (для высокоскоростного железнодорожного подвижного состава, предназначенного для перевозки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элементах составных частей подсистем инфраструктуры высокоскоростного железнодорожного транспорта в соответствии с конструкторской документацией, обеспечивающую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обеспечивающей идентификацию продукции независимо от года ее выпуска в составных частях высокоскоростного железнодорожного подвижного состава, составных частях подсистем инфраструктуры высокоскоростного железнодорожного транспорта и элементов составных частей подсистем инфраструктуры высокоскоростного железнодорожного транспорта в соответствии с конструкторской документацией,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знака маркировки и клейма на колесных парах высокоскоростного железнодорожного подвижного состава в соответствии с конструкторской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стеклах кабины машиниста и вагонов высокоскоростного железнодорожного подвижного состава в соответствии с конструкторской документацией, содержащее следующее:</w:t>
            </w:r>
          </w:p>
          <w:p>
            <w:pPr>
              <w:spacing w:after="20"/>
              <w:ind w:left="20"/>
              <w:jc w:val="both"/>
            </w:pPr>
            <w:r>
              <w:rPr>
                <w:rFonts w:ascii="Times New Roman"/>
                <w:b w:val="false"/>
                <w:i w:val="false"/>
                <w:color w:val="000000"/>
                <w:sz w:val="20"/>
              </w:rPr>
              <w:t>
1) знак обращения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 (или) его товарный знак;</w:t>
            </w:r>
          </w:p>
          <w:p>
            <w:pPr>
              <w:spacing w:after="20"/>
              <w:ind w:left="20"/>
              <w:jc w:val="both"/>
            </w:pPr>
            <w:r>
              <w:rPr>
                <w:rFonts w:ascii="Times New Roman"/>
                <w:b w:val="false"/>
                <w:i w:val="false"/>
                <w:color w:val="000000"/>
                <w:sz w:val="20"/>
              </w:rPr>
              <w:t>
3) обозначения вида стекла;</w:t>
            </w:r>
          </w:p>
          <w:p>
            <w:pPr>
              <w:spacing w:after="20"/>
              <w:ind w:left="20"/>
              <w:jc w:val="both"/>
            </w:pPr>
            <w:r>
              <w:rPr>
                <w:rFonts w:ascii="Times New Roman"/>
                <w:b w:val="false"/>
                <w:i w:val="false"/>
                <w:color w:val="000000"/>
                <w:sz w:val="20"/>
              </w:rPr>
              <w:t>
4) класс защиты;</w:t>
            </w:r>
          </w:p>
          <w:p>
            <w:pPr>
              <w:spacing w:after="20"/>
              <w:ind w:left="20"/>
              <w:jc w:val="both"/>
            </w:pPr>
            <w:r>
              <w:rPr>
                <w:rFonts w:ascii="Times New Roman"/>
                <w:b w:val="false"/>
                <w:i w:val="false"/>
                <w:color w:val="000000"/>
                <w:sz w:val="20"/>
              </w:rPr>
              <w:t>
5) сведения 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на государственном языке государства - члена Евразийского экономического союза, в котором изготовлена продукция, и на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исключение превышения значений уровня электромагнитных помех, создаваемых высокоскоростным железнодорожным подвижным составом, в пределах которых эти помехи не оказывают влияния на работоспособность объектов инфраструктуры высокоскоростного железнодорожного транспорта и эксплуатируемого на ней высокоскоростного железнодорожного подвижного состава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продукции высокоскоростного железнодорожного транспорта порядка утилизации опасных элементов составных частей подсистем с целью предотвращения их использования после прекращения их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комплекта эксплуатационной и ремонтной документации объектов инфраструктуры высокоскоростного железнодорожного транспорта 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расположению и монтажа его оборудования, обеспечивающего безопасность обслуживающего персонала при эксплуатации, осмотре, техническом обслуживании,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специальных подножек, поручней или приспособлений, обеспечивающих безопасность обслуживающего персонала при эксплуатации, осмотре, техническом обслуживании,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высокоскоростного железнодорожного подвижного состава работоспособным состоянием во всех предусмотренных режимах работы и при всех внешних воздействиях, предусмотренных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системы управления, контроля и безопасности средствами сигнализации и информирования, предупреждающие о нарушениях исправного состояния высокоскоростного железнодорожного подвижного состава и его составных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программными средствами высокоскоростного железнодорожного подвижного состава, как встраиваемыми, так и поставляемыми на материальных носителях, включающих следующее:</w:t>
            </w:r>
          </w:p>
          <w:p>
            <w:pPr>
              <w:spacing w:after="20"/>
              <w:ind w:left="20"/>
              <w:jc w:val="both"/>
            </w:pPr>
            <w:r>
              <w:rPr>
                <w:rFonts w:ascii="Times New Roman"/>
                <w:b w:val="false"/>
                <w:i w:val="false"/>
                <w:color w:val="000000"/>
                <w:sz w:val="20"/>
              </w:rPr>
              <w:t>
1) работоспособность после перезагрузок, вызванных сбоями и отказами технических средств, и целостность при собственных сбоях;</w:t>
            </w:r>
          </w:p>
          <w:p>
            <w:pPr>
              <w:spacing w:after="20"/>
              <w:ind w:left="20"/>
              <w:jc w:val="both"/>
            </w:pPr>
            <w:r>
              <w:rPr>
                <w:rFonts w:ascii="Times New Roman"/>
                <w:b w:val="false"/>
                <w:i w:val="false"/>
                <w:color w:val="000000"/>
                <w:sz w:val="20"/>
              </w:rPr>
              <w:t>
2) защищенность от компьютерных вирусов, несанкционированного доступа, последствий отказов, ошибок и сбоев при хранении, вводе, обработке и выводе информации, возможности случайных изменений информации;</w:t>
            </w:r>
          </w:p>
          <w:p>
            <w:pPr>
              <w:spacing w:after="20"/>
              <w:ind w:left="20"/>
              <w:jc w:val="both"/>
            </w:pPr>
            <w:r>
              <w:rPr>
                <w:rFonts w:ascii="Times New Roman"/>
                <w:b w:val="false"/>
                <w:i w:val="false"/>
                <w:color w:val="000000"/>
                <w:sz w:val="20"/>
              </w:rPr>
              <w:t>
3) соответствие свойствам и характеристикам, описанным в сопроводительной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программного обеспечения версии, указанной в декларации о соответствии программного обеспечения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системы управления, контроля и безопасности высокоскоростного железнодорожного подвижного состава в работе тягового привода и оборудования при неисправностях аппаратов электрической, гидравлической и пневматической частей, сбоя программного обеспечения исключающей изменений характеристик и режимов работы, которые приводят к нарушению безопасного состояния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приборов и устройств для управления высокоскоростным железнодорожным подвижным составом следующему:</w:t>
            </w:r>
          </w:p>
          <w:p>
            <w:pPr>
              <w:spacing w:after="20"/>
              <w:ind w:left="20"/>
              <w:jc w:val="both"/>
            </w:pPr>
            <w:r>
              <w:rPr>
                <w:rFonts w:ascii="Times New Roman"/>
                <w:b w:val="false"/>
                <w:i w:val="false"/>
                <w:color w:val="000000"/>
                <w:sz w:val="20"/>
              </w:rPr>
              <w:t>
1) снабжены надписями и символами в соответствии с конструкторской документацией;</w:t>
            </w:r>
          </w:p>
          <w:p>
            <w:pPr>
              <w:spacing w:after="20"/>
              <w:ind w:left="20"/>
              <w:jc w:val="both"/>
            </w:pPr>
            <w:r>
              <w:rPr>
                <w:rFonts w:ascii="Times New Roman"/>
                <w:b w:val="false"/>
                <w:i w:val="false"/>
                <w:color w:val="000000"/>
                <w:sz w:val="20"/>
              </w:rPr>
              <w:t>
2) спроектированы и размещены так, чтобы исключалось непроизвольное их включение, выключение и переключение;</w:t>
            </w:r>
          </w:p>
          <w:p>
            <w:pPr>
              <w:spacing w:after="20"/>
              <w:ind w:left="20"/>
              <w:jc w:val="both"/>
            </w:pPr>
            <w:r>
              <w:rPr>
                <w:rFonts w:ascii="Times New Roman"/>
                <w:b w:val="false"/>
                <w:i w:val="false"/>
                <w:color w:val="000000"/>
                <w:sz w:val="20"/>
              </w:rPr>
              <w:t>
3) размещены с учетом значимости выполняемых функций, последовательности и частоты использования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поездная радиосвязь;</w:t>
            </w:r>
          </w:p>
          <w:p>
            <w:pPr>
              <w:spacing w:after="20"/>
              <w:ind w:left="20"/>
              <w:jc w:val="both"/>
            </w:pPr>
            <w:r>
              <w:rPr>
                <w:rFonts w:ascii="Times New Roman"/>
                <w:b w:val="false"/>
                <w:i w:val="false"/>
                <w:color w:val="000000"/>
                <w:sz w:val="20"/>
              </w:rPr>
              <w:t>
2) автоматизированная система управления, обеспечивающая контроль скорости движения и возможность получать (передавать) речевую информацию при подъездах к входным и выходным светофорам, переездам и станциям;</w:t>
            </w:r>
          </w:p>
          <w:p>
            <w:pPr>
              <w:spacing w:after="20"/>
              <w:ind w:left="20"/>
              <w:jc w:val="both"/>
            </w:pPr>
            <w:r>
              <w:rPr>
                <w:rFonts w:ascii="Times New Roman"/>
                <w:b w:val="false"/>
                <w:i w:val="false"/>
                <w:color w:val="000000"/>
                <w:sz w:val="20"/>
              </w:rPr>
              <w:t>
3) регистраторы параметров движения;</w:t>
            </w:r>
          </w:p>
          <w:p>
            <w:pPr>
              <w:spacing w:after="20"/>
              <w:ind w:left="20"/>
              <w:jc w:val="both"/>
            </w:pPr>
            <w:r>
              <w:rPr>
                <w:rFonts w:ascii="Times New Roman"/>
                <w:b w:val="false"/>
                <w:i w:val="false"/>
                <w:color w:val="000000"/>
                <w:sz w:val="20"/>
              </w:rPr>
              <w:t>
4) автоматическая локомотивная сигнализация;</w:t>
            </w:r>
          </w:p>
          <w:p>
            <w:pPr>
              <w:spacing w:after="20"/>
              <w:ind w:left="20"/>
              <w:jc w:val="both"/>
            </w:pPr>
            <w:r>
              <w:rPr>
                <w:rFonts w:ascii="Times New Roman"/>
                <w:b w:val="false"/>
                <w:i w:val="false"/>
                <w:color w:val="000000"/>
                <w:sz w:val="20"/>
              </w:rPr>
              <w:t>
5) электропневматический тормоз;</w:t>
            </w:r>
          </w:p>
          <w:p>
            <w:pPr>
              <w:spacing w:after="20"/>
              <w:ind w:left="20"/>
              <w:jc w:val="both"/>
            </w:pPr>
            <w:r>
              <w:rPr>
                <w:rFonts w:ascii="Times New Roman"/>
                <w:b w:val="false"/>
                <w:i w:val="false"/>
                <w:color w:val="000000"/>
                <w:sz w:val="20"/>
              </w:rPr>
              <w:t>
6) связь "пассажир-машинист";</w:t>
            </w:r>
          </w:p>
          <w:p>
            <w:pPr>
              <w:spacing w:after="20"/>
              <w:ind w:left="20"/>
              <w:jc w:val="both"/>
            </w:pPr>
            <w:r>
              <w:rPr>
                <w:rFonts w:ascii="Times New Roman"/>
                <w:b w:val="false"/>
                <w:i w:val="false"/>
                <w:color w:val="000000"/>
                <w:sz w:val="20"/>
              </w:rPr>
              <w:t>
7) сигнализация контроля закрытия дверей;</w:t>
            </w:r>
          </w:p>
          <w:p>
            <w:pPr>
              <w:spacing w:after="20"/>
              <w:ind w:left="20"/>
              <w:jc w:val="both"/>
            </w:pPr>
            <w:r>
              <w:rPr>
                <w:rFonts w:ascii="Times New Roman"/>
                <w:b w:val="false"/>
                <w:i w:val="false"/>
                <w:color w:val="000000"/>
                <w:sz w:val="20"/>
              </w:rPr>
              <w:t>
8) автоматическая пожарная сигнализация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головном вагоне высокоскоростного железнодорожного подвижного состава аппаратуры спутниковой навигации, способствующей обеспечению безопасности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бортовых устройств безопасности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прием сигналов о поездной ситуации от системы диспетчерской централизации и диспетчерского контроля, систем сигнализации, централизации и блокировки на станциях и перегонах, а также от бортовых устройств безопасности другого высокоскоростного железнодорожного подвижного состава;</w:t>
            </w:r>
          </w:p>
          <w:p>
            <w:pPr>
              <w:spacing w:after="20"/>
              <w:ind w:left="20"/>
              <w:jc w:val="both"/>
            </w:pPr>
            <w:r>
              <w:rPr>
                <w:rFonts w:ascii="Times New Roman"/>
                <w:b w:val="false"/>
                <w:i w:val="false"/>
                <w:color w:val="000000"/>
                <w:sz w:val="20"/>
              </w:rPr>
              <w:t>
2) определение параметров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3) регистрацию информации о движении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4) диагностику систем и устройств высокоскоростного железнодорожного подвижного состава, включая самодиагностику;</w:t>
            </w:r>
          </w:p>
          <w:p>
            <w:pPr>
              <w:spacing w:after="20"/>
              <w:ind w:left="20"/>
              <w:jc w:val="both"/>
            </w:pPr>
            <w:r>
              <w:rPr>
                <w:rFonts w:ascii="Times New Roman"/>
                <w:b w:val="false"/>
                <w:i w:val="false"/>
                <w:color w:val="000000"/>
                <w:sz w:val="20"/>
              </w:rPr>
              <w:t>
5) управление электропневматическим торможением;</w:t>
            </w:r>
          </w:p>
          <w:p>
            <w:pPr>
              <w:spacing w:after="20"/>
              <w:ind w:left="20"/>
              <w:jc w:val="both"/>
            </w:pPr>
            <w:r>
              <w:rPr>
                <w:rFonts w:ascii="Times New Roman"/>
                <w:b w:val="false"/>
                <w:i w:val="false"/>
                <w:color w:val="000000"/>
                <w:sz w:val="20"/>
              </w:rPr>
              <w:t>
6) контроль самопроизвольного ухода высокоскоростного железнодорожного подвижного состава;</w:t>
            </w:r>
          </w:p>
          <w:p>
            <w:pPr>
              <w:spacing w:after="20"/>
              <w:ind w:left="20"/>
              <w:jc w:val="both"/>
            </w:pPr>
            <w:r>
              <w:rPr>
                <w:rFonts w:ascii="Times New Roman"/>
                <w:b w:val="false"/>
                <w:i w:val="false"/>
                <w:color w:val="000000"/>
                <w:sz w:val="20"/>
              </w:rPr>
              <w:t>
7) периодическую проверку бдительности машиниста;</w:t>
            </w:r>
          </w:p>
          <w:p>
            <w:pPr>
              <w:spacing w:after="20"/>
              <w:ind w:left="20"/>
              <w:jc w:val="both"/>
            </w:pPr>
            <w:r>
              <w:rPr>
                <w:rFonts w:ascii="Times New Roman"/>
                <w:b w:val="false"/>
                <w:i w:val="false"/>
                <w:color w:val="000000"/>
                <w:sz w:val="20"/>
              </w:rPr>
              <w:t>
8) осуществление информационного обмена по общему каналу передачи данных высокоскоростного железнодорожного подвижного состава, а также с использованием средств связи, которыми оборудован высокоскоростной железнодорожный подвижной состав;</w:t>
            </w:r>
          </w:p>
          <w:p>
            <w:pPr>
              <w:spacing w:after="20"/>
              <w:ind w:left="20"/>
              <w:jc w:val="both"/>
            </w:pPr>
            <w:r>
              <w:rPr>
                <w:rFonts w:ascii="Times New Roman"/>
                <w:b w:val="false"/>
                <w:i w:val="false"/>
                <w:color w:val="000000"/>
                <w:sz w:val="20"/>
              </w:rPr>
              <w:t>
9) машиниста информацией;</w:t>
            </w:r>
          </w:p>
          <w:p>
            <w:pPr>
              <w:spacing w:after="20"/>
              <w:ind w:left="20"/>
              <w:jc w:val="both"/>
            </w:pPr>
            <w:r>
              <w:rPr>
                <w:rFonts w:ascii="Times New Roman"/>
                <w:b w:val="false"/>
                <w:i w:val="false"/>
                <w:color w:val="000000"/>
                <w:sz w:val="20"/>
              </w:rPr>
              <w:t>
10) автоматическую остановку высокоскоростного железнодорожного подвижного состава при потери машинистом способности управления высокоскоростным железнодорожным подвижным составом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кабины машиниста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беспрепятственный обзор локомотивной бригаде, находящейся в положении "сидя" и "стоя", пути следования, напольных сигналов, соседних путей, составов и контактной сети;</w:t>
            </w:r>
          </w:p>
          <w:p>
            <w:pPr>
              <w:spacing w:after="20"/>
              <w:ind w:left="20"/>
              <w:jc w:val="both"/>
            </w:pPr>
            <w:r>
              <w:rPr>
                <w:rFonts w:ascii="Times New Roman"/>
                <w:b w:val="false"/>
                <w:i w:val="false"/>
                <w:color w:val="000000"/>
                <w:sz w:val="20"/>
              </w:rPr>
              <w:t>
2) видимость в положении "стоя" одного из работников локомотивной бригады при подъезде к составу вагонов и рабочей зоны персонала, участвующего в маневрах;</w:t>
            </w:r>
          </w:p>
          <w:p>
            <w:pPr>
              <w:spacing w:after="20"/>
              <w:ind w:left="20"/>
              <w:jc w:val="both"/>
            </w:pPr>
            <w:r>
              <w:rPr>
                <w:rFonts w:ascii="Times New Roman"/>
                <w:b w:val="false"/>
                <w:i w:val="false"/>
                <w:color w:val="000000"/>
                <w:sz w:val="20"/>
              </w:rPr>
              <w:t>
3) беспрепятственный обзор из кабины машиниста в любое время года и суток, при любых погодных условиях, на всех скоростях движения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ветровых стекол кабины машиниста высокоскоростного железнодорожного подвижного состава надежному закреплению в окнах и уплотнению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планировки кабины машиниста высокоскоростного железнодорожного подвижного состава, компоновки рабочего места локомотивной бригады, приборов и устройств управления, систем отображения информации, конструкции кресла машиниста нижеследующим требованиям эргономики и системотехники:</w:t>
            </w:r>
          </w:p>
          <w:p>
            <w:pPr>
              <w:spacing w:after="20"/>
              <w:ind w:left="20"/>
              <w:jc w:val="both"/>
            </w:pPr>
            <w:r>
              <w:rPr>
                <w:rFonts w:ascii="Times New Roman"/>
                <w:b w:val="false"/>
                <w:i w:val="false"/>
                <w:color w:val="000000"/>
                <w:sz w:val="20"/>
              </w:rPr>
              <w:t>
1) при проектировании пульта управления и рабочего места машиниста и его помощника учитываются требования эргономики, обеспечивающие удобство управления из положения "сидя" и "стоя";</w:t>
            </w:r>
          </w:p>
          <w:p>
            <w:pPr>
              <w:spacing w:after="20"/>
              <w:ind w:left="20"/>
              <w:jc w:val="both"/>
            </w:pPr>
            <w:r>
              <w:rPr>
                <w:rFonts w:ascii="Times New Roman"/>
                <w:b w:val="false"/>
                <w:i w:val="false"/>
                <w:color w:val="000000"/>
                <w:sz w:val="20"/>
              </w:rPr>
              <w:t>
2) конструкция и расположение приборов и устройств управления, измерительных приборов, световых индикаторов на пульте управления обеспечивают видимость показаний указанных приборов и индикаторов в дневное и ночное время при отсутствии бликов от прямого или отраженного света;</w:t>
            </w:r>
          </w:p>
          <w:p>
            <w:pPr>
              <w:spacing w:after="20"/>
              <w:ind w:left="20"/>
              <w:jc w:val="both"/>
            </w:pPr>
            <w:r>
              <w:rPr>
                <w:rFonts w:ascii="Times New Roman"/>
                <w:b w:val="false"/>
                <w:i w:val="false"/>
                <w:color w:val="000000"/>
                <w:sz w:val="20"/>
              </w:rPr>
              <w:t>
параметры освещенности в кабине машиниста, яркость шкал измерительных приборов соответствовать пределам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оборудования систем общего, местного и аварийного освещения с автоматическим и ручным переключателем на автономный источник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аварийного выхода кабины машиниста высокоскоростного железнодорожного подвижного через боковые окна с использованием вспомогательных приспособлений и аварийных выходов с каждой стороны вагона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безопасности остекления внутренних помещений высокоскоростного железнодорожного подвижного состава, предназначенных для обслуживающего персонала и пассажиров, при ударных воздействиях на высокоскоростной железнодорожный подвижной состав во время его стоянки и в пути следования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дополнительного освещения во внутренней части высокоскоростного железнодорожного подвижного состава, требующие осмотра, настройки и технического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автоматического тормоза, обеспечивающего при торможении его замедление и остановку в пределах расчетного тормозного пути соответствующего необходимой функциональности и надежности в различных условиях эксплуатации, плавности торможения, остановку высокоскоростного железнодорожного подвижного состава при нарушении целостности тормозной магистрали и при несанкционированном расцеплении единиц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тормозов с возможностью применения различных режимов торможения в зависимости от длины высокоскоростного железнодорожного подвижного состава и профиля железнодорожного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опломбированных стоп-кранов со звуковым и визуальным информированием об активации и возможностью блокировки из кабины машиниста в высокоскоростном железнодорожном подвижном составе, установленных внутри пассажирских вагонов, с исключением возможности его отключения пассажирами при активации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автоматических стояночных тормозов, стояночных тормозов с функцией расчетного тормозного нажатия и удержания единицы высокоскоростного железнодорожного подвижного состава в пределах допустимых значений, с устройством, исключающим самопроизвольное вращение штурвала ручного стояночного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выдерживающих вес защищаемого ими оборудования в пределах допустимых значений составных частей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главных воздушных резервуаров и аккумуляторных батареи высокоскоростного железнодорожного подвижного состава вне кабины машиниста, пассажирских салонов и помещений для обслуживающего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согласования действия электродинамического тормоза высокоскоростного железнодорожного подвижного состава (при наличии) с работой пневматических и электропневматических тормозов при осуществлении служебного и экстренного торможения с функцией автоматического замещения пневматическим тормозом при отказе электродинамического тормоза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сцепного устройства, исключающего самопроизвольное разъединение единиц железнодорожного подвижного состава и обеспечивающего его эвакуацию в экстренных случаях с энергопоглощающим аппаратом в составе автосцепного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запаса статической прочности и необходимого коэффициента сопротивления усталости, колеса, осей и бандажа колесных пар высокоскоростного железнодорожного подвижного состава, обеспечивающее стойкость к образованию и развитию дефектов (трещин) в течение указанного в конструкторской документации срока их полного освидетельствования, обеспечивающую механическую безопасность в течение назначенного срока службы (механические свойства, ударная вязкость и остаточное напряженное состояние колес, осей и бандажей)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материалов и веществ, применяемых при проектировании и производстве высокоскоростного железнодорожного подвижного состава и его составных частей, для людей и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рабочих мест, кабин машинистов, внутренних помещений высокоскоростного железнодорожного подвижного состава допустимым значениям показателей микроклимата, уровня шума, инфразвука, вибрации, ультразвука, электромагнитного излучения, освещения, состава воздушной среды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опасного воздействия на жизнь и здоровье человека, животных и растений при применении жидкостей (кислоты, щелочи, сжиженные газы) и горюче-смазочных материалов в процессе производства, эксплуатации, технического обслуживания и ремонта высокоскоростного железнодорожного подвижного состава и его составных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надежно закрепленных подножек и поручней высокоскоростного железнодорожного подвижного состава, с препятствием скольжения поверхностей ступенек, площадок, подножек и настилов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конструкции высокоскоростного железнодорожного подвижного состава мест для его подъема домкратами, с препятствием скольжения поверхности, предназначенной для соприкосновения с головками домкратов.</w:t>
            </w:r>
          </w:p>
          <w:p>
            <w:pPr>
              <w:spacing w:after="20"/>
              <w:ind w:left="20"/>
              <w:jc w:val="both"/>
            </w:pPr>
            <w:r>
              <w:rPr>
                <w:rFonts w:ascii="Times New Roman"/>
                <w:b w:val="false"/>
                <w:i w:val="false"/>
                <w:color w:val="000000"/>
                <w:sz w:val="20"/>
              </w:rPr>
              <w:t>
Обеспечение подъема каждой единицы высокоскоростного железнодорожного подвижного состава при сходе колесных пар с рельсов с помощью кранов и домкратов, а также возможность ее транспортирования при заклиненной колесной паре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отсутствию острых ребер, кромок и углов на выступающих деталях конструкции и оборудования высокоскоростного железнодорожного подвижного состава и его составных частей, способных травмировать обслуживающий персонал и пассажиров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превышения допустимых значений степени риска возникновения и развития пожара и воздействия на людей опасных факторов пожара в материалах и веществах, применяемых для отделки внутренних поверхностей салонов вагонов высокоскоростного железнодорожного подвижного состава, кабин машиниста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пассажирских вагонах огнезадерживающей перегородки между купе проводников и пассажирским салоном с надпотолочным пространством в вагонах некупейного типа и над большим (основным) коридором вагона купейного типа которое разделено не менее чем на 3 зоны путем установки огнезадерживающих фрамуг, с отделением кабины машинистаогнезадерживающей перегородкой от остальной части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безопасного прохода обсуживающего персонала и пассажиров из вагона в вагон по переходным площадкам, в соответствии следующему:</w:t>
            </w:r>
          </w:p>
          <w:p>
            <w:pPr>
              <w:spacing w:after="20"/>
              <w:ind w:left="20"/>
              <w:jc w:val="both"/>
            </w:pPr>
            <w:r>
              <w:rPr>
                <w:rFonts w:ascii="Times New Roman"/>
                <w:b w:val="false"/>
                <w:i w:val="false"/>
                <w:color w:val="000000"/>
                <w:sz w:val="20"/>
              </w:rPr>
              <w:t>
1) конструкция переходных площадок с закрытым типом, исключающим возможность случайного контакта обслуживающего персонала и пассажиров с внешними элементами высокоскоростного железнодорожного подвижного состава, элементами инфраструктуры высокоскоростного железнодорожного транспорта, такими, как контактная сеть, верхнее строение пути;</w:t>
            </w:r>
          </w:p>
          <w:p>
            <w:pPr>
              <w:spacing w:after="20"/>
              <w:ind w:left="20"/>
              <w:jc w:val="both"/>
            </w:pPr>
            <w:r>
              <w:rPr>
                <w:rFonts w:ascii="Times New Roman"/>
                <w:b w:val="false"/>
                <w:i w:val="false"/>
                <w:color w:val="000000"/>
                <w:sz w:val="20"/>
              </w:rPr>
              <w:t>
2) минимизировать воздействие возможных неблагоприятных факторов окружающей среды на обслуживающий персонал и пассажиров во время их нахождения на переходной площадке.</w:t>
            </w:r>
          </w:p>
          <w:p>
            <w:pPr>
              <w:spacing w:after="20"/>
              <w:ind w:left="20"/>
              <w:jc w:val="both"/>
            </w:pPr>
            <w:r>
              <w:rPr>
                <w:rFonts w:ascii="Times New Roman"/>
                <w:b w:val="false"/>
                <w:i w:val="false"/>
                <w:color w:val="000000"/>
                <w:sz w:val="20"/>
              </w:rPr>
              <w:t>
Соответствие мест размещения и крепления личного багажа, креплений и размещения кресел и диванов нижеследующему:</w:t>
            </w:r>
          </w:p>
          <w:p>
            <w:pPr>
              <w:spacing w:after="20"/>
              <w:ind w:left="20"/>
              <w:jc w:val="both"/>
            </w:pPr>
            <w:r>
              <w:rPr>
                <w:rFonts w:ascii="Times New Roman"/>
                <w:b w:val="false"/>
                <w:i w:val="false"/>
                <w:color w:val="000000"/>
                <w:sz w:val="20"/>
              </w:rPr>
              <w:t>
1) кресла и диваны высокоскоростного железнодорожного подвижного состава с прочным креплением к полу и конструкции, исключающую возможность их опрокидывания, в том числе при экстренном торможении.</w:t>
            </w:r>
          </w:p>
          <w:p>
            <w:pPr>
              <w:spacing w:after="20"/>
              <w:ind w:left="20"/>
              <w:jc w:val="both"/>
            </w:pPr>
            <w:r>
              <w:rPr>
                <w:rFonts w:ascii="Times New Roman"/>
                <w:b w:val="false"/>
                <w:i w:val="false"/>
                <w:color w:val="000000"/>
                <w:sz w:val="20"/>
              </w:rPr>
              <w:t>
2) места размещения и крепления личного багажа пассажиров и обслуживающего персонала с расчетом, чтобы не травмировать пассажиров и обслуживающий персонал при экстренном торможении и (или) аварийной эвакуации.</w:t>
            </w:r>
          </w:p>
          <w:p>
            <w:pPr>
              <w:spacing w:after="20"/>
              <w:ind w:left="20"/>
              <w:jc w:val="both"/>
            </w:pPr>
            <w:r>
              <w:rPr>
                <w:rFonts w:ascii="Times New Roman"/>
                <w:b w:val="false"/>
                <w:i w:val="false"/>
                <w:color w:val="000000"/>
                <w:sz w:val="20"/>
              </w:rPr>
              <w:t>
3) планировка вагонов высокоскоростного железнодорожного подвижного состава, компоновка мест для пассажиров и обслуживающего персонала соответствующая эргономики и системотехники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вращающихся частях электрических машин, вентиляторов, компрессоров и другого оборудования высокоскоростного железнодорожного подвижного состава, специальных устройств, исключающих случайный контакт обслуживающего персонала и пассажиров с движущимися частями оборудования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электрооборудовании высокоскоростного железнодорожного подвижного состава защиты и сигнализации, срабатывающей при перегрузках, коротких замыканиях, замыканиях на землю, при возникновении перенапряжений электрооборудования, а также при снятии напряжения в контактной сети при рекуперативном торможении, буксовании и юзе колесных пар, исключающее повреждение электрооборудования и опасные последствия в виде: недопустимого нагрева, приводящего к задымлению или возгоранию, и перенапряжениям, приводящим к пробою изоляции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незащищенных (неизолированных) частях электрооборудования высокоскоростного железнодорожного подвижного состава, находящиеся под напряжением, защиты от случайного доступа к ним обслуживающего персонала и пассажиров. с заземлением на корпус высокоскоростного железнодорожного подвижного состава.</w:t>
            </w:r>
          </w:p>
          <w:p>
            <w:pPr>
              <w:spacing w:after="20"/>
              <w:ind w:left="20"/>
              <w:jc w:val="both"/>
            </w:pPr>
            <w:r>
              <w:rPr>
                <w:rFonts w:ascii="Times New Roman"/>
                <w:b w:val="false"/>
                <w:i w:val="false"/>
                <w:color w:val="000000"/>
                <w:sz w:val="20"/>
              </w:rPr>
              <w:t>
С заземлением на корпус высокоскоростного железнодорожного подвижного состава металлических оболочек электрооборудования, а также всех ограждений (включая трубы), конструкций для крепления токоведущих частей, которые при неисправности находятся под напряжением, превышающим допустимые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специального места для хранения комплекта электрозащитных средств, а также другого специального оборудования, необходимого для технического обслуживания и безопасной эксплуатации высокоскоростного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избыточного давления и разряжения головной воздушной волны, возникающей при движении высокоскоростного железнодорожного подвижного состава, исключению опасного влияния на пассажиров, находящихся на пассажирских платформах или в непосредственной близости от железнодорожного пути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высокоскоростного железнодорожного подвижного состава требованию по взрывобезопасности аккумуляторного бокса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системы пожарной сигнализации, установки пожаротушения, специальных мест для размещения огнетушителей, противопожарного инвентаря.</w:t>
            </w:r>
          </w:p>
          <w:p>
            <w:pPr>
              <w:spacing w:after="20"/>
              <w:ind w:left="20"/>
              <w:jc w:val="both"/>
            </w:pPr>
            <w:r>
              <w:rPr>
                <w:rFonts w:ascii="Times New Roman"/>
                <w:b w:val="false"/>
                <w:i w:val="false"/>
                <w:color w:val="000000"/>
                <w:sz w:val="20"/>
              </w:rPr>
              <w:t>
Системы пожарной сигнализации с акустической и оптической информацией с указанием места возникновения загорания, автоматического определения неисправности (короткого замыкания, обрыва) в линиях связи извещателей с приемно-контрольным прибором, и обеспечением возможности периодической проверки их исправности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следующих устройств:</w:t>
            </w:r>
          </w:p>
          <w:p>
            <w:pPr>
              <w:spacing w:after="20"/>
              <w:ind w:left="20"/>
              <w:jc w:val="both"/>
            </w:pPr>
            <w:r>
              <w:rPr>
                <w:rFonts w:ascii="Times New Roman"/>
                <w:b w:val="false"/>
                <w:i w:val="false"/>
                <w:color w:val="000000"/>
                <w:sz w:val="20"/>
              </w:rPr>
              <w:t>
1) система кондиционирования воздуха (отопления, охлаждения, вентиляции), места для курения с отдельной системой вентиляции, выводящей воздух за пределы помещения без его рециркуляции;</w:t>
            </w:r>
          </w:p>
          <w:p>
            <w:pPr>
              <w:spacing w:after="20"/>
              <w:ind w:left="20"/>
              <w:jc w:val="both"/>
            </w:pPr>
            <w:r>
              <w:rPr>
                <w:rFonts w:ascii="Times New Roman"/>
                <w:b w:val="false"/>
                <w:i w:val="false"/>
                <w:color w:val="000000"/>
                <w:sz w:val="20"/>
              </w:rPr>
              <w:t>
2) внутрипоездная телефонная связь;</w:t>
            </w:r>
          </w:p>
          <w:p>
            <w:pPr>
              <w:spacing w:after="20"/>
              <w:ind w:left="20"/>
              <w:jc w:val="both"/>
            </w:pPr>
            <w:r>
              <w:rPr>
                <w:rFonts w:ascii="Times New Roman"/>
                <w:b w:val="false"/>
                <w:i w:val="false"/>
                <w:color w:val="000000"/>
                <w:sz w:val="20"/>
              </w:rPr>
              <w:t>
3) система контроля нагрева букс;</w:t>
            </w:r>
          </w:p>
          <w:p>
            <w:pPr>
              <w:spacing w:after="20"/>
              <w:ind w:left="20"/>
              <w:jc w:val="both"/>
            </w:pPr>
            <w:r>
              <w:rPr>
                <w:rFonts w:ascii="Times New Roman"/>
                <w:b w:val="false"/>
                <w:i w:val="false"/>
                <w:color w:val="000000"/>
                <w:sz w:val="20"/>
              </w:rPr>
              <w:t>
4) система питьевого и хозяйственного водоснабжения;</w:t>
            </w:r>
          </w:p>
          <w:p>
            <w:pPr>
              <w:spacing w:after="20"/>
              <w:ind w:left="20"/>
              <w:jc w:val="both"/>
            </w:pPr>
            <w:r>
              <w:rPr>
                <w:rFonts w:ascii="Times New Roman"/>
                <w:b w:val="false"/>
                <w:i w:val="false"/>
                <w:color w:val="000000"/>
                <w:sz w:val="20"/>
              </w:rPr>
              <w:t>
5) экологически чистые туалетные комплексы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расположенных непосредственно в пассажирском салоне устройств для связи пассажиров с локомотивной или поездной бригадой.</w:t>
            </w:r>
          </w:p>
          <w:p>
            <w:pPr>
              <w:spacing w:after="20"/>
              <w:ind w:left="20"/>
              <w:jc w:val="both"/>
            </w:pPr>
            <w:r>
              <w:rPr>
                <w:rFonts w:ascii="Times New Roman"/>
                <w:b w:val="false"/>
                <w:i w:val="false"/>
                <w:color w:val="000000"/>
                <w:sz w:val="20"/>
              </w:rPr>
              <w:t>
Оборудование входных дверей вагонов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поезда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входных дверей вагонов высокоскоростного железнодорожного подвижного состава системами (устройствами) открывания (закрывания) и системой контроля, обеспечивающей безопасность обслуживающего персонала и (или) пассажиров.</w:t>
            </w:r>
          </w:p>
          <w:p>
            <w:pPr>
              <w:spacing w:after="20"/>
              <w:ind w:left="20"/>
              <w:jc w:val="both"/>
            </w:pPr>
            <w:r>
              <w:rPr>
                <w:rFonts w:ascii="Times New Roman"/>
                <w:b w:val="false"/>
                <w:i w:val="false"/>
                <w:color w:val="000000"/>
                <w:sz w:val="20"/>
              </w:rPr>
              <w:t>
Оборудование входных дверей высокоскоростного железнодорожного подвижного состава запорными устройствами, исключающими их открывание пассажирами или посторонними лицами при движении подвижного состава.</w:t>
            </w:r>
          </w:p>
          <w:p>
            <w:pPr>
              <w:spacing w:after="20"/>
              <w:ind w:left="20"/>
              <w:jc w:val="both"/>
            </w:pPr>
            <w:r>
              <w:rPr>
                <w:rFonts w:ascii="Times New Roman"/>
                <w:b w:val="false"/>
                <w:i w:val="false"/>
                <w:color w:val="000000"/>
                <w:sz w:val="20"/>
              </w:rPr>
              <w:t xml:space="preserve">
Обеспечение аварийного открывания входных дверей высокоскоростного железнодорожного подвижного состава по штатной схеме с их фиксацией в открытом положении. </w:t>
            </w:r>
          </w:p>
          <w:p>
            <w:pPr>
              <w:spacing w:after="20"/>
              <w:ind w:left="20"/>
              <w:jc w:val="both"/>
            </w:pPr>
            <w:r>
              <w:rPr>
                <w:rFonts w:ascii="Times New Roman"/>
                <w:b w:val="false"/>
                <w:i w:val="false"/>
                <w:color w:val="000000"/>
                <w:sz w:val="20"/>
              </w:rPr>
              <w:t xml:space="preserve">
Обеспечение аварийного открывания входных дверей прислонного типа в ручном режиме при скорости движения высокоскоростного железнодорожного подвижного состава в пределах допустимых значений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мест, предназначенных для проезда лиц с инвалидностью и пассажиров с детьми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вагонах высокоскоростного железнодорожного подвижного состава, предназначенных для проезда граждан, имеющих ограничения в подвижности, следующих устройств:</w:t>
            </w:r>
          </w:p>
          <w:p>
            <w:pPr>
              <w:spacing w:after="20"/>
              <w:ind w:left="20"/>
              <w:jc w:val="both"/>
            </w:pPr>
            <w:r>
              <w:rPr>
                <w:rFonts w:ascii="Times New Roman"/>
                <w:b w:val="false"/>
                <w:i w:val="false"/>
                <w:color w:val="000000"/>
                <w:sz w:val="20"/>
              </w:rPr>
              <w:t>
1) устройства для быстрого подъема, спуска и надежного крепления кресел-колясок;</w:t>
            </w:r>
          </w:p>
          <w:p>
            <w:pPr>
              <w:spacing w:after="20"/>
              <w:ind w:left="20"/>
              <w:jc w:val="both"/>
            </w:pPr>
            <w:r>
              <w:rPr>
                <w:rFonts w:ascii="Times New Roman"/>
                <w:b w:val="false"/>
                <w:i w:val="false"/>
                <w:color w:val="000000"/>
                <w:sz w:val="20"/>
              </w:rPr>
              <w:t>
2) специальные санузлы с увеличенной площадью;</w:t>
            </w:r>
          </w:p>
          <w:p>
            <w:pPr>
              <w:spacing w:after="20"/>
              <w:ind w:left="20"/>
              <w:jc w:val="both"/>
            </w:pPr>
            <w:r>
              <w:rPr>
                <w:rFonts w:ascii="Times New Roman"/>
                <w:b w:val="false"/>
                <w:i w:val="false"/>
                <w:color w:val="000000"/>
                <w:sz w:val="20"/>
              </w:rPr>
              <w:t>
в) проходы увеличенной ширины.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высокоскоростном железнодорожном подвижном составе визуальных и звуковых сигнальных устройств.</w:t>
            </w:r>
          </w:p>
          <w:p>
            <w:pPr>
              <w:spacing w:after="20"/>
              <w:ind w:left="20"/>
              <w:jc w:val="both"/>
            </w:pPr>
            <w:r>
              <w:rPr>
                <w:rFonts w:ascii="Times New Roman"/>
                <w:b w:val="false"/>
                <w:i w:val="false"/>
                <w:color w:val="000000"/>
                <w:sz w:val="20"/>
              </w:rPr>
              <w:t>
Оборудование лобовых частей головных вагонов высокоскоростного железнодорожного подвижного состава прожектором и двумя сигнальными буферными фонарями с правой и левой стороны.</w:t>
            </w:r>
          </w:p>
          <w:p>
            <w:pPr>
              <w:spacing w:after="20"/>
              <w:ind w:left="20"/>
              <w:jc w:val="both"/>
            </w:pPr>
            <w:r>
              <w:rPr>
                <w:rFonts w:ascii="Times New Roman"/>
                <w:b w:val="false"/>
                <w:i w:val="false"/>
                <w:color w:val="000000"/>
                <w:sz w:val="20"/>
              </w:rPr>
              <w:t>
Установка прожектора по продольной оси симметрии головного вагона высокоскоростного железнодорожного подвижного состава. Направление осевого луча прожектора параллельно горизонтальной плоскости железнодорожного пути. Предусмотреть схемой включения прожектора возможность включения яркого света, обеспечивающего номинальную осевую силу света, и тусклого света.</w:t>
            </w:r>
          </w:p>
          <w:p>
            <w:pPr>
              <w:spacing w:after="20"/>
              <w:ind w:left="20"/>
              <w:jc w:val="both"/>
            </w:pPr>
            <w:r>
              <w:rPr>
                <w:rFonts w:ascii="Times New Roman"/>
                <w:b w:val="false"/>
                <w:i w:val="false"/>
                <w:color w:val="000000"/>
                <w:sz w:val="20"/>
              </w:rPr>
              <w:t>
Обеспечение возможности резервирования работы прожектора во время движения высокоскоростного железнодорожного подвижного состава.</w:t>
            </w:r>
          </w:p>
          <w:p>
            <w:pPr>
              <w:spacing w:after="20"/>
              <w:ind w:left="20"/>
              <w:jc w:val="both"/>
            </w:pPr>
            <w:r>
              <w:rPr>
                <w:rFonts w:ascii="Times New Roman"/>
                <w:b w:val="false"/>
                <w:i w:val="false"/>
                <w:color w:val="000000"/>
                <w:sz w:val="20"/>
              </w:rPr>
              <w:t>
Оборудование высокоскоростного железнодорожного подвижного состава звуковыми сигнальными устройствами - большой громкости (тифоны) и малой громкости (свистки). Расположение устройства для включения тифона и свистка в зоне оптимальной досягаемости машиниста и помощника машиниста. Дублирование системы управления звуковыми сигналами высокоскоростного железнодорожного подвижного состава - включение в себя устройства для непосредственного прямого управления воздушным клапаном тифона путем механического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токоприемника высокоскоростного железнодорожного подвижного состава устройству аварийного опускания токоприемника при наезде на препятствие, расположенной ниже поверхности трения контактного 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высокоскоростного железнодорожного подвижного состава обеспечивает: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высокоскоростного железнодорожного подвижного состава и передачу разрешения на движение высокоскоростного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высокоскоростного железнодорожного подвижного состава, а также оповещения работников, выполняющих работы на железнодорожных путях, о приближении высокоскоростного железнодорожного подвижного состава;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высокоскоростного железнодорожного подвижного состава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высокоскоростного железнодорожного подвижного состава на участок железнодорожного пути, который занят другим высокоскоростным железнодорожным подвижным составом;</w:t>
            </w:r>
          </w:p>
          <w:p>
            <w:pPr>
              <w:spacing w:after="20"/>
              <w:ind w:left="20"/>
              <w:jc w:val="both"/>
            </w:pPr>
            <w:r>
              <w:rPr>
                <w:rFonts w:ascii="Times New Roman"/>
                <w:b w:val="false"/>
                <w:i w:val="false"/>
                <w:color w:val="000000"/>
                <w:sz w:val="20"/>
              </w:rPr>
              <w:t>
контроль положения высокоскоростного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высокоскоростного железнодорожного подвижного состава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высокоскоростным железнодорожным подвижным составом;</w:t>
            </w:r>
          </w:p>
          <w:p>
            <w:pPr>
              <w:spacing w:after="20"/>
              <w:ind w:left="20"/>
              <w:jc w:val="both"/>
            </w:pPr>
            <w:r>
              <w:rPr>
                <w:rFonts w:ascii="Times New Roman"/>
                <w:b w:val="false"/>
                <w:i w:val="false"/>
                <w:color w:val="000000"/>
                <w:sz w:val="20"/>
              </w:rPr>
              <w:t>
4)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5) железнодорожная автоматика и телемеханика совместимостью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6)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объектов высокоскоростного железнодорожного подвижного состава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высокоскоростного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высокоскоростного железнодорожного транспорта и высокоскоростным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 учетом степени риска причинения вреда, минимально необходимого требования продукции инфраструктуры железнодорожного транспорта нижеследующему: </w:t>
            </w:r>
          </w:p>
          <w:p>
            <w:pPr>
              <w:spacing w:after="20"/>
              <w:ind w:left="20"/>
              <w:jc w:val="both"/>
            </w:pPr>
            <w:r>
              <w:rPr>
                <w:rFonts w:ascii="Times New Roman"/>
                <w:b w:val="false"/>
                <w:i w:val="false"/>
                <w:color w:val="000000"/>
                <w:sz w:val="20"/>
              </w:rPr>
              <w:t>
1) безопасность излучений;</w:t>
            </w:r>
          </w:p>
          <w:p>
            <w:pPr>
              <w:spacing w:after="20"/>
              <w:ind w:left="20"/>
              <w:jc w:val="both"/>
            </w:pPr>
            <w:r>
              <w:rPr>
                <w:rFonts w:ascii="Times New Roman"/>
                <w:b w:val="false"/>
                <w:i w:val="false"/>
                <w:color w:val="000000"/>
                <w:sz w:val="20"/>
              </w:rPr>
              <w:t>
2) биологическую безопасность;</w:t>
            </w:r>
          </w:p>
          <w:p>
            <w:pPr>
              <w:spacing w:after="20"/>
              <w:ind w:left="20"/>
              <w:jc w:val="both"/>
            </w:pPr>
            <w:r>
              <w:rPr>
                <w:rFonts w:ascii="Times New Roman"/>
                <w:b w:val="false"/>
                <w:i w:val="false"/>
                <w:color w:val="000000"/>
                <w:sz w:val="20"/>
              </w:rPr>
              <w:t>
3) взрывобезопасность;</w:t>
            </w:r>
          </w:p>
          <w:p>
            <w:pPr>
              <w:spacing w:after="20"/>
              <w:ind w:left="20"/>
              <w:jc w:val="both"/>
            </w:pPr>
            <w:r>
              <w:rPr>
                <w:rFonts w:ascii="Times New Roman"/>
                <w:b w:val="false"/>
                <w:i w:val="false"/>
                <w:color w:val="000000"/>
                <w:sz w:val="20"/>
              </w:rPr>
              <w:t>
4) механическую безопасность;</w:t>
            </w:r>
          </w:p>
          <w:p>
            <w:pPr>
              <w:spacing w:after="20"/>
              <w:ind w:left="20"/>
              <w:jc w:val="both"/>
            </w:pPr>
            <w:r>
              <w:rPr>
                <w:rFonts w:ascii="Times New Roman"/>
                <w:b w:val="false"/>
                <w:i w:val="false"/>
                <w:color w:val="000000"/>
                <w:sz w:val="20"/>
              </w:rPr>
              <w:t>
5) пожарную безопасность;</w:t>
            </w:r>
          </w:p>
          <w:p>
            <w:pPr>
              <w:spacing w:after="20"/>
              <w:ind w:left="20"/>
              <w:jc w:val="both"/>
            </w:pPr>
            <w:r>
              <w:rPr>
                <w:rFonts w:ascii="Times New Roman"/>
                <w:b w:val="false"/>
                <w:i w:val="false"/>
                <w:color w:val="000000"/>
                <w:sz w:val="20"/>
              </w:rPr>
              <w:t>
6) промышленную безопасность;</w:t>
            </w:r>
          </w:p>
          <w:p>
            <w:pPr>
              <w:spacing w:after="20"/>
              <w:ind w:left="20"/>
              <w:jc w:val="both"/>
            </w:pPr>
            <w:r>
              <w:rPr>
                <w:rFonts w:ascii="Times New Roman"/>
                <w:b w:val="false"/>
                <w:i w:val="false"/>
                <w:color w:val="000000"/>
                <w:sz w:val="20"/>
              </w:rPr>
              <w:t>
7) термическую безопасность;</w:t>
            </w:r>
          </w:p>
          <w:p>
            <w:pPr>
              <w:spacing w:after="20"/>
              <w:ind w:left="20"/>
              <w:jc w:val="both"/>
            </w:pPr>
            <w:r>
              <w:rPr>
                <w:rFonts w:ascii="Times New Roman"/>
                <w:b w:val="false"/>
                <w:i w:val="false"/>
                <w:color w:val="000000"/>
                <w:sz w:val="20"/>
              </w:rPr>
              <w:t>
8) электрическую безопасность;</w:t>
            </w:r>
          </w:p>
          <w:p>
            <w:pPr>
              <w:spacing w:after="20"/>
              <w:ind w:left="20"/>
              <w:jc w:val="both"/>
            </w:pPr>
            <w:r>
              <w:rPr>
                <w:rFonts w:ascii="Times New Roman"/>
                <w:b w:val="false"/>
                <w:i w:val="false"/>
                <w:color w:val="000000"/>
                <w:sz w:val="20"/>
              </w:rPr>
              <w:t>
9) электромагнитную совместимость в части обеспечения безопасности работы приборов и оборудования;</w:t>
            </w:r>
          </w:p>
          <w:p>
            <w:pPr>
              <w:spacing w:after="20"/>
              <w:ind w:left="20"/>
              <w:jc w:val="both"/>
            </w:pPr>
            <w:r>
              <w:rPr>
                <w:rFonts w:ascii="Times New Roman"/>
                <w:b w:val="false"/>
                <w:i w:val="false"/>
                <w:color w:val="000000"/>
                <w:sz w:val="20"/>
              </w:rPr>
              <w:t>
10) единство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оценки степени риска расчетным, экспериментальным и экспертным путем, в том числе по данным эксплуатации аналогичных объектов инфраструктуры железнодорожного транспорта 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объектов инфраструктуры железнодорожного транспорта и продукции по прочности, устойчивости и техническому состоянию при безопасности движения поездов с наибольшими скоростями в пределах допустимых значений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проектировании железнодорожного подвижного состава и его составных частей аварийной крэш - системы для защиты обслуживающего персонала и пассажиров при столкновении и схода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хорошо различимых идентификационных и предупреждающих надписей и маркировки, с повторением и пояснением в руководстве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инфраструктуры железнодорожного транспорта маркировки, обеспечивающей идентификацию продукции независимо от года ее выпуска, в том числе:</w:t>
            </w:r>
          </w:p>
          <w:p>
            <w:pPr>
              <w:spacing w:after="20"/>
              <w:ind w:left="20"/>
              <w:jc w:val="both"/>
            </w:pPr>
            <w:r>
              <w:rPr>
                <w:rFonts w:ascii="Times New Roman"/>
                <w:b w:val="false"/>
                <w:i w:val="false"/>
                <w:color w:val="000000"/>
                <w:sz w:val="20"/>
              </w:rPr>
              <w:t>
1) единый знак обращения продукции на рынке государств - членов Евразийского экономического союза;</w:t>
            </w:r>
          </w:p>
          <w:p>
            <w:pPr>
              <w:spacing w:after="20"/>
              <w:ind w:left="20"/>
              <w:jc w:val="both"/>
            </w:pPr>
            <w:r>
              <w:rPr>
                <w:rFonts w:ascii="Times New Roman"/>
                <w:b w:val="false"/>
                <w:i w:val="false"/>
                <w:color w:val="000000"/>
                <w:sz w:val="20"/>
              </w:rPr>
              <w:t>
2) наименование изготовителя или его товарный знак, наименование продукции;</w:t>
            </w:r>
          </w:p>
          <w:p>
            <w:pPr>
              <w:spacing w:after="20"/>
              <w:ind w:left="20"/>
              <w:jc w:val="both"/>
            </w:pPr>
            <w:r>
              <w:rPr>
                <w:rFonts w:ascii="Times New Roman"/>
                <w:b w:val="false"/>
                <w:i w:val="false"/>
                <w:color w:val="000000"/>
                <w:sz w:val="20"/>
              </w:rPr>
              <w:t>
3) дата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и эксплуатационных документов выполненных на государственном языке государства - члена Евразийского экономического союза, в котором изготовлена продукция инфраструктуры железнодорожного транспорта, и на русском языке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уровню электромагнитных помех, создаваемых продукцией инфраструктуры железнодорожного транспорта, не превышающее значения, в пределах которых эти помехи не оказывают влияния на работоспособность объектов инфраструктуры железнодорожного транспорта, ее продукции, а также железнодорожного подвижного состава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железнодорожного электроснабжения, составных частей железнодорожного электроснабжения и элементов составных частей железнодорожного электроснабжения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соблюдение условий, при которых обеспечиваются:</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находящихся под напряжением, до заземленных частей, поверхности земли, настилов пешеходных мостов, лестниц, пассажирских платформ и железнодорожных переездов;</w:t>
            </w:r>
          </w:p>
          <w:p>
            <w:pPr>
              <w:spacing w:after="20"/>
              <w:ind w:left="20"/>
              <w:jc w:val="both"/>
            </w:pPr>
            <w:r>
              <w:rPr>
                <w:rFonts w:ascii="Times New Roman"/>
                <w:b w:val="false"/>
                <w:i w:val="false"/>
                <w:color w:val="000000"/>
                <w:sz w:val="20"/>
              </w:rPr>
              <w:t>
безопасное расстояние от элементов составных частей железнодорожного электроснабжения до линий электропередачи, не входящих в состав инфраструктуры железнодорожного транспорта;</w:t>
            </w:r>
          </w:p>
          <w:p>
            <w:pPr>
              <w:spacing w:after="20"/>
              <w:ind w:left="20"/>
              <w:jc w:val="both"/>
            </w:pPr>
            <w:r>
              <w:rPr>
                <w:rFonts w:ascii="Times New Roman"/>
                <w:b w:val="false"/>
                <w:i w:val="false"/>
                <w:color w:val="000000"/>
                <w:sz w:val="20"/>
              </w:rPr>
              <w:t>
напряжение не более допустимого значения при прикосновении к корпусам электрооборудования и другим металлическим конструкциям;</w:t>
            </w:r>
          </w:p>
          <w:p>
            <w:pPr>
              <w:spacing w:after="20"/>
              <w:ind w:left="20"/>
              <w:jc w:val="both"/>
            </w:pPr>
            <w:r>
              <w:rPr>
                <w:rFonts w:ascii="Times New Roman"/>
                <w:b w:val="false"/>
                <w:i w:val="false"/>
                <w:color w:val="000000"/>
                <w:sz w:val="20"/>
              </w:rPr>
              <w:t>
наличие ограждений и блокировок, препятствующих несанкционированному проникновению в опасные зоны или прикосновению к элементам составных частей железнодорожного электроснабжения, находящимся под напряжением;</w:t>
            </w:r>
          </w:p>
          <w:p>
            <w:pPr>
              <w:spacing w:after="20"/>
              <w:ind w:left="20"/>
              <w:jc w:val="both"/>
            </w:pPr>
            <w:r>
              <w:rPr>
                <w:rFonts w:ascii="Times New Roman"/>
                <w:b w:val="false"/>
                <w:i w:val="false"/>
                <w:color w:val="000000"/>
                <w:sz w:val="20"/>
              </w:rPr>
              <w:t>
уровень радиопомех, создаваемых элементами составных частей железнодорожного электроснабжения, не выше допустимого значения;</w:t>
            </w:r>
          </w:p>
          <w:p>
            <w:pPr>
              <w:spacing w:after="20"/>
              <w:ind w:left="20"/>
              <w:jc w:val="both"/>
            </w:pPr>
            <w:r>
              <w:rPr>
                <w:rFonts w:ascii="Times New Roman"/>
                <w:b w:val="false"/>
                <w:i w:val="false"/>
                <w:color w:val="000000"/>
                <w:sz w:val="20"/>
              </w:rPr>
              <w:t>
автоматическое отключение тяговой сети или линий электропередачи при возникновении таких режимов, которые приводят к повреждению или нарушению исправного состояния железнодорожного электроснабжения и иных подсистем инфраструктуры железнодорожного транспорта;</w:t>
            </w:r>
          </w:p>
          <w:p>
            <w:pPr>
              <w:spacing w:after="20"/>
              <w:ind w:left="20"/>
              <w:jc w:val="both"/>
            </w:pPr>
            <w:r>
              <w:rPr>
                <w:rFonts w:ascii="Times New Roman"/>
                <w:b w:val="false"/>
                <w:i w:val="false"/>
                <w:color w:val="000000"/>
                <w:sz w:val="20"/>
              </w:rPr>
              <w:t>
наличие предупреждающих знаков;</w:t>
            </w:r>
          </w:p>
          <w:p>
            <w:pPr>
              <w:spacing w:after="20"/>
              <w:ind w:left="20"/>
              <w:jc w:val="both"/>
            </w:pPr>
            <w:r>
              <w:rPr>
                <w:rFonts w:ascii="Times New Roman"/>
                <w:b w:val="false"/>
                <w:i w:val="false"/>
                <w:color w:val="000000"/>
                <w:sz w:val="20"/>
              </w:rPr>
              <w:t>
пожарная безопасность как в нормальном, так и в аварийном режимах;</w:t>
            </w:r>
          </w:p>
          <w:p>
            <w:pPr>
              <w:spacing w:after="20"/>
              <w:ind w:left="20"/>
              <w:jc w:val="both"/>
            </w:pPr>
            <w:r>
              <w:rPr>
                <w:rFonts w:ascii="Times New Roman"/>
                <w:b w:val="false"/>
                <w:i w:val="false"/>
                <w:color w:val="000000"/>
                <w:sz w:val="20"/>
              </w:rPr>
              <w:t>
2) использование оборудования, параметры которого обеспечивают:</w:t>
            </w:r>
          </w:p>
          <w:p>
            <w:pPr>
              <w:spacing w:after="20"/>
              <w:ind w:left="20"/>
              <w:jc w:val="both"/>
            </w:pPr>
            <w:r>
              <w:rPr>
                <w:rFonts w:ascii="Times New Roman"/>
                <w:b w:val="false"/>
                <w:i w:val="false"/>
                <w:color w:val="000000"/>
                <w:sz w:val="20"/>
              </w:rPr>
              <w:t>
электрическую прочность изоляции не ниже допустимого значения;</w:t>
            </w:r>
          </w:p>
          <w:p>
            <w:pPr>
              <w:spacing w:after="20"/>
              <w:ind w:left="20"/>
              <w:jc w:val="both"/>
            </w:pPr>
            <w:r>
              <w:rPr>
                <w:rFonts w:ascii="Times New Roman"/>
                <w:b w:val="false"/>
                <w:i w:val="false"/>
                <w:color w:val="000000"/>
                <w:sz w:val="20"/>
              </w:rPr>
              <w:t>
превышение температуры токоведущих частей оборудования над температурой окружающей среды при номинальном токе не выше допустимого значения;</w:t>
            </w:r>
          </w:p>
          <w:p>
            <w:pPr>
              <w:spacing w:after="20"/>
              <w:ind w:left="20"/>
              <w:jc w:val="both"/>
            </w:pPr>
            <w:r>
              <w:rPr>
                <w:rFonts w:ascii="Times New Roman"/>
                <w:b w:val="false"/>
                <w:i w:val="false"/>
                <w:color w:val="000000"/>
                <w:sz w:val="20"/>
              </w:rPr>
              <w:t>
отношение наименьшего размера изоляционного промежутка, при котором отсутствует сигнал об отключенном положении разъединителя контактной сети, к наибольшему размеру изоляционного промежутка не менее допустимого значения;</w:t>
            </w:r>
          </w:p>
          <w:p>
            <w:pPr>
              <w:spacing w:after="20"/>
              <w:ind w:left="20"/>
              <w:jc w:val="both"/>
            </w:pPr>
            <w:r>
              <w:rPr>
                <w:rFonts w:ascii="Times New Roman"/>
                <w:b w:val="false"/>
                <w:i w:val="false"/>
                <w:color w:val="000000"/>
                <w:sz w:val="20"/>
              </w:rPr>
              <w:t>
коэффициент безопасности по прочности стоек для опор контактной сети, фундаментов опор и ригелей жестких поперечин не менее допустимого значения;</w:t>
            </w:r>
          </w:p>
          <w:p>
            <w:pPr>
              <w:spacing w:after="20"/>
              <w:ind w:left="20"/>
              <w:jc w:val="both"/>
            </w:pPr>
            <w:r>
              <w:rPr>
                <w:rFonts w:ascii="Times New Roman"/>
                <w:b w:val="false"/>
                <w:i w:val="false"/>
                <w:color w:val="000000"/>
                <w:sz w:val="20"/>
              </w:rPr>
              <w:t>
относительный прогиб в средней части несущих конструкций контактной сети не более допустимого значения;</w:t>
            </w:r>
          </w:p>
          <w:p>
            <w:pPr>
              <w:spacing w:after="20"/>
              <w:ind w:left="20"/>
              <w:jc w:val="both"/>
            </w:pPr>
            <w:r>
              <w:rPr>
                <w:rFonts w:ascii="Times New Roman"/>
                <w:b w:val="false"/>
                <w:i w:val="false"/>
                <w:color w:val="000000"/>
                <w:sz w:val="20"/>
              </w:rPr>
              <w:t>
обратное напряжение диодного заземлителя не менее допустимого значения;</w:t>
            </w:r>
          </w:p>
          <w:p>
            <w:pPr>
              <w:spacing w:after="20"/>
              <w:ind w:left="20"/>
              <w:jc w:val="both"/>
            </w:pPr>
            <w:r>
              <w:rPr>
                <w:rFonts w:ascii="Times New Roman"/>
                <w:b w:val="false"/>
                <w:i w:val="false"/>
                <w:color w:val="000000"/>
                <w:sz w:val="20"/>
              </w:rPr>
              <w:t>
импульсное напряжение срабатывания устройств защиты станций стыкования в пределах допустимых значений;</w:t>
            </w:r>
          </w:p>
          <w:p>
            <w:pPr>
              <w:spacing w:after="20"/>
              <w:ind w:left="20"/>
              <w:jc w:val="both"/>
            </w:pPr>
            <w:r>
              <w:rPr>
                <w:rFonts w:ascii="Times New Roman"/>
                <w:b w:val="false"/>
                <w:i w:val="false"/>
                <w:color w:val="000000"/>
                <w:sz w:val="20"/>
              </w:rPr>
              <w:t>
необходимый уровень защиты от опасного и вредного воздействия электромагнитных полей;</w:t>
            </w:r>
          </w:p>
          <w:p>
            <w:pPr>
              <w:spacing w:after="20"/>
              <w:ind w:left="20"/>
              <w:jc w:val="both"/>
            </w:pPr>
            <w:r>
              <w:rPr>
                <w:rFonts w:ascii="Times New Roman"/>
                <w:b w:val="false"/>
                <w:i w:val="false"/>
                <w:color w:val="000000"/>
                <w:sz w:val="20"/>
              </w:rPr>
              <w:t>
автоматическое отключение элементов составных частей железнодорожного электроснабжения в аварийном режиме работы (перегрузка, перегрев, короткое замыкание), исключающее возгорание его частей;</w:t>
            </w:r>
          </w:p>
          <w:p>
            <w:pPr>
              <w:spacing w:after="20"/>
              <w:ind w:left="20"/>
              <w:jc w:val="both"/>
            </w:pPr>
            <w:r>
              <w:rPr>
                <w:rFonts w:ascii="Times New Roman"/>
                <w:b w:val="false"/>
                <w:i w:val="false"/>
                <w:color w:val="000000"/>
                <w:sz w:val="20"/>
              </w:rPr>
              <w:t>
допустимый уровень электромагнитного излучения.</w:t>
            </w:r>
          </w:p>
          <w:p>
            <w:pPr>
              <w:spacing w:after="20"/>
              <w:ind w:left="20"/>
              <w:jc w:val="both"/>
            </w:pPr>
            <w:r>
              <w:rPr>
                <w:rFonts w:ascii="Times New Roman"/>
                <w:b w:val="false"/>
                <w:i w:val="false"/>
                <w:color w:val="000000"/>
                <w:sz w:val="20"/>
              </w:rPr>
              <w:t>
3) обеспечение механической прочности оборудования железнодорожного электроснабжения при воздействии:</w:t>
            </w:r>
          </w:p>
          <w:p>
            <w:pPr>
              <w:spacing w:after="20"/>
              <w:ind w:left="20"/>
              <w:jc w:val="both"/>
            </w:pPr>
            <w:r>
              <w:rPr>
                <w:rFonts w:ascii="Times New Roman"/>
                <w:b w:val="false"/>
                <w:i w:val="false"/>
                <w:color w:val="000000"/>
                <w:sz w:val="20"/>
              </w:rPr>
              <w:t>
эксплуатационных нагрузок;</w:t>
            </w:r>
          </w:p>
          <w:p>
            <w:pPr>
              <w:spacing w:after="20"/>
              <w:ind w:left="20"/>
              <w:jc w:val="both"/>
            </w:pPr>
            <w:r>
              <w:rPr>
                <w:rFonts w:ascii="Times New Roman"/>
                <w:b w:val="false"/>
                <w:i w:val="false"/>
                <w:color w:val="000000"/>
                <w:sz w:val="20"/>
              </w:rPr>
              <w:t>
нагрузок в расчетных аварийных режимах;</w:t>
            </w:r>
          </w:p>
          <w:p>
            <w:pPr>
              <w:spacing w:after="20"/>
              <w:ind w:left="20"/>
              <w:jc w:val="both"/>
            </w:pPr>
            <w:r>
              <w:rPr>
                <w:rFonts w:ascii="Times New Roman"/>
                <w:b w:val="false"/>
                <w:i w:val="false"/>
                <w:color w:val="000000"/>
                <w:sz w:val="20"/>
              </w:rPr>
              <w:t>
монтажных нагрузок;</w:t>
            </w:r>
          </w:p>
          <w:p>
            <w:pPr>
              <w:spacing w:after="20"/>
              <w:ind w:left="20"/>
              <w:jc w:val="both"/>
            </w:pPr>
            <w:r>
              <w:rPr>
                <w:rFonts w:ascii="Times New Roman"/>
                <w:b w:val="false"/>
                <w:i w:val="false"/>
                <w:color w:val="000000"/>
                <w:sz w:val="20"/>
              </w:rPr>
              <w:t>
4) безопасное функционирование железнодорожного электроснабжения при одновременном воздействии эксплуатационных или аварийных нагрузок и климатических факторов, соответствующих нормативным показателям района эксплуатации, в том числе для режимов минимальной температуры, максимальной температуры, максимальной скорости ветра или гололеда с ветром;</w:t>
            </w:r>
          </w:p>
          <w:p>
            <w:pPr>
              <w:spacing w:after="20"/>
              <w:ind w:left="20"/>
              <w:jc w:val="both"/>
            </w:pPr>
            <w:r>
              <w:rPr>
                <w:rFonts w:ascii="Times New Roman"/>
                <w:b w:val="false"/>
                <w:i w:val="false"/>
                <w:color w:val="000000"/>
                <w:sz w:val="20"/>
              </w:rPr>
              <w:t>
5) обеспечение безопасности оперативного и оперативно-ремонтного персонала от возможного попадания под напряжение и поражения электрическим током путем:</w:t>
            </w:r>
          </w:p>
          <w:p>
            <w:pPr>
              <w:spacing w:after="20"/>
              <w:ind w:left="20"/>
              <w:jc w:val="both"/>
            </w:pPr>
            <w:r>
              <w:rPr>
                <w:rFonts w:ascii="Times New Roman"/>
                <w:b w:val="false"/>
                <w:i w:val="false"/>
                <w:color w:val="000000"/>
                <w:sz w:val="20"/>
              </w:rPr>
              <w:t>
установления разъединителей с видимым разрывом во всех цепях распределительных устройств (кроме ячеек с выкатными блоками), обеспечивающих возможность отсоединения всех аппаратов от источников напряжения;</w:t>
            </w:r>
          </w:p>
          <w:p>
            <w:pPr>
              <w:spacing w:after="20"/>
              <w:ind w:left="20"/>
              <w:jc w:val="both"/>
            </w:pPr>
            <w:r>
              <w:rPr>
                <w:rFonts w:ascii="Times New Roman"/>
                <w:b w:val="false"/>
                <w:i w:val="false"/>
                <w:color w:val="000000"/>
                <w:sz w:val="20"/>
              </w:rPr>
              <w:t>
оборудования всех распределительных устройств напряжением свыше 1000 В тяговых и трансформаторных подстанций, а также линейных элементов составных частей железнодорожного электроснабжения стационарными заземляющими ножами, обеспечивающими заземление аппаратов и ошиновки, и блокировками или иными устройствами, предотвращающими возможность выполнения ошибочных операций с коммутационными аппаратами;</w:t>
            </w:r>
          </w:p>
          <w:p>
            <w:pPr>
              <w:spacing w:after="20"/>
              <w:ind w:left="20"/>
              <w:jc w:val="both"/>
            </w:pPr>
            <w:r>
              <w:rPr>
                <w:rFonts w:ascii="Times New Roman"/>
                <w:b w:val="false"/>
                <w:i w:val="false"/>
                <w:color w:val="000000"/>
                <w:sz w:val="20"/>
              </w:rPr>
              <w:t>
оборудования стационарных ограждений, лестниц для подъема на трансформаторы блокировками или иными устройствами, обеспечивающими возможность открывания ограждений, приведения лестниц в рабочее положение только при включенных заземляющих ножах;</w:t>
            </w:r>
          </w:p>
          <w:p>
            <w:pPr>
              <w:spacing w:after="20"/>
              <w:ind w:left="20"/>
              <w:jc w:val="both"/>
            </w:pPr>
            <w:r>
              <w:rPr>
                <w:rFonts w:ascii="Times New Roman"/>
                <w:b w:val="false"/>
                <w:i w:val="false"/>
                <w:color w:val="000000"/>
                <w:sz w:val="20"/>
              </w:rPr>
              <w:t>
6) обеспечения посредством элементов составных частей железнодорожного электроснабжения снабжения тягового подвижного состава, сооружений и устройств подсистем инфраструктуры железнодорожного транспорта электроэнергией с показателями качества, обеспечивающими их безопасное функционирование и повышение энергетической эффективности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автоматики и телемеханики, составных частей железнодорожной автоматики и телемеханики и элементов составных частей железнодорожной автоматики и телемеханики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все составные части автоматики и телемеханики и элементы составных частей автоматики и телемеханики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диспетчерская централизация и диспетчерский контроль движения поездов обеспечивают:</w:t>
            </w:r>
          </w:p>
          <w:p>
            <w:pPr>
              <w:spacing w:after="20"/>
              <w:ind w:left="20"/>
              <w:jc w:val="both"/>
            </w:pPr>
            <w:r>
              <w:rPr>
                <w:rFonts w:ascii="Times New Roman"/>
                <w:b w:val="false"/>
                <w:i w:val="false"/>
                <w:color w:val="000000"/>
                <w:sz w:val="20"/>
              </w:rPr>
              <w:t>
централизованное управление стрелками и светофорами одной или нескольких станций и перегонов железнодорожного пути из одного диспетчерского центра с обеспечением резервного управления устройствами электрической централизации на этих станциях и путевых постах;</w:t>
            </w:r>
          </w:p>
          <w:p>
            <w:pPr>
              <w:spacing w:after="20"/>
              <w:ind w:left="20"/>
              <w:jc w:val="both"/>
            </w:pPr>
            <w:r>
              <w:rPr>
                <w:rFonts w:ascii="Times New Roman"/>
                <w:b w:val="false"/>
                <w:i w:val="false"/>
                <w:color w:val="000000"/>
                <w:sz w:val="20"/>
              </w:rPr>
              <w:t>
непрерывный контроль положения стрелок и свободности (занятости) перегонов, путей на станциях и прилегающих к станциям блок-участках, а также показаний входных, маршрутных и выходных светофоров;</w:t>
            </w:r>
          </w:p>
          <w:p>
            <w:pPr>
              <w:spacing w:after="20"/>
              <w:ind w:left="20"/>
              <w:jc w:val="both"/>
            </w:pPr>
            <w:r>
              <w:rPr>
                <w:rFonts w:ascii="Times New Roman"/>
                <w:b w:val="false"/>
                <w:i w:val="false"/>
                <w:color w:val="000000"/>
                <w:sz w:val="20"/>
              </w:rPr>
              <w:t>
непрерывный контроль технического состояния устройств сигнализации, централизации и блокировки на станциях и перегонах;</w:t>
            </w:r>
          </w:p>
          <w:p>
            <w:pPr>
              <w:spacing w:after="20"/>
              <w:ind w:left="20"/>
              <w:jc w:val="both"/>
            </w:pPr>
            <w:r>
              <w:rPr>
                <w:rFonts w:ascii="Times New Roman"/>
                <w:b w:val="false"/>
                <w:i w:val="false"/>
                <w:color w:val="000000"/>
                <w:sz w:val="20"/>
              </w:rPr>
              <w:t>
возможность изменения параметров движения при ложной занятости блок-участков, включая экстренную остановку железнодорожного подвижного состава и передачу разрешения на движение железнодорожного подвижного состава для проследования светофора с запрещающим показанием;</w:t>
            </w:r>
          </w:p>
          <w:p>
            <w:pPr>
              <w:spacing w:after="20"/>
              <w:ind w:left="20"/>
              <w:jc w:val="both"/>
            </w:pPr>
            <w:r>
              <w:rPr>
                <w:rFonts w:ascii="Times New Roman"/>
                <w:b w:val="false"/>
                <w:i w:val="false"/>
                <w:color w:val="000000"/>
                <w:sz w:val="20"/>
              </w:rPr>
              <w:t>
передачу необходимых данных для оповещения пассажиров о движении поездов, а также оповещения работников, выполняющих работы на железнодорожных путях, о приближении поезда;</w:t>
            </w:r>
          </w:p>
          <w:p>
            <w:pPr>
              <w:spacing w:after="20"/>
              <w:ind w:left="20"/>
              <w:jc w:val="both"/>
            </w:pPr>
            <w:r>
              <w:rPr>
                <w:rFonts w:ascii="Times New Roman"/>
                <w:b w:val="false"/>
                <w:i w:val="false"/>
                <w:color w:val="000000"/>
                <w:sz w:val="20"/>
              </w:rPr>
              <w:t>
3) сигнализация, централизация и блокировка на станциях и перегонах обеспечивает:</w:t>
            </w:r>
          </w:p>
          <w:p>
            <w:pPr>
              <w:spacing w:after="20"/>
              <w:ind w:left="20"/>
              <w:jc w:val="both"/>
            </w:pPr>
            <w:r>
              <w:rPr>
                <w:rFonts w:ascii="Times New Roman"/>
                <w:b w:val="false"/>
                <w:i w:val="false"/>
                <w:color w:val="000000"/>
                <w:sz w:val="20"/>
              </w:rPr>
              <w:t>
пропуск поездов по установленным непересекающимся маршрутам с установленными скоростями в обоих направлениях на станциях и по каждому пути перегона;</w:t>
            </w:r>
          </w:p>
          <w:p>
            <w:pPr>
              <w:spacing w:after="20"/>
              <w:ind w:left="20"/>
              <w:jc w:val="both"/>
            </w:pPr>
            <w:r>
              <w:rPr>
                <w:rFonts w:ascii="Times New Roman"/>
                <w:b w:val="false"/>
                <w:i w:val="false"/>
                <w:color w:val="000000"/>
                <w:sz w:val="20"/>
              </w:rPr>
              <w:t>
предотвращение (блокирование) входа железнодорожного подвижного состава на участок железнодорожного пути, который занят другим железнодорожным подвижным составом;</w:t>
            </w:r>
          </w:p>
          <w:p>
            <w:pPr>
              <w:spacing w:after="20"/>
              <w:ind w:left="20"/>
              <w:jc w:val="both"/>
            </w:pPr>
            <w:r>
              <w:rPr>
                <w:rFonts w:ascii="Times New Roman"/>
                <w:b w:val="false"/>
                <w:i w:val="false"/>
                <w:color w:val="000000"/>
                <w:sz w:val="20"/>
              </w:rPr>
              <w:t>
контроль положения железнодорожного подвижного состава, перевод стрелок, контроль их положения и наружное запирание при приготовлении маршрута, а также управление светофорами и выполнение требуемой последовательности взаимозависимых операций;</w:t>
            </w:r>
          </w:p>
          <w:p>
            <w:pPr>
              <w:spacing w:after="20"/>
              <w:ind w:left="20"/>
              <w:jc w:val="both"/>
            </w:pPr>
            <w:r>
              <w:rPr>
                <w:rFonts w:ascii="Times New Roman"/>
                <w:b w:val="false"/>
                <w:i w:val="false"/>
                <w:color w:val="000000"/>
                <w:sz w:val="20"/>
              </w:rPr>
              <w:t>
контроль технического состояния устройств и технических средств и при необходимости их резервирование;</w:t>
            </w:r>
          </w:p>
          <w:p>
            <w:pPr>
              <w:spacing w:after="20"/>
              <w:ind w:left="20"/>
              <w:jc w:val="both"/>
            </w:pPr>
            <w:r>
              <w:rPr>
                <w:rFonts w:ascii="Times New Roman"/>
                <w:b w:val="false"/>
                <w:i w:val="false"/>
                <w:color w:val="000000"/>
                <w:sz w:val="20"/>
              </w:rPr>
              <w:t>
автоматическое оповещение о приближении поезда на железнодорожных станциях;</w:t>
            </w:r>
          </w:p>
          <w:p>
            <w:pPr>
              <w:spacing w:after="20"/>
              <w:ind w:left="20"/>
              <w:jc w:val="both"/>
            </w:pPr>
            <w:r>
              <w:rPr>
                <w:rFonts w:ascii="Times New Roman"/>
                <w:b w:val="false"/>
                <w:i w:val="false"/>
                <w:color w:val="000000"/>
                <w:sz w:val="20"/>
              </w:rPr>
              <w:t>
недопущение перевода стрелок под железнодорожным подвижным составом;</w:t>
            </w:r>
          </w:p>
          <w:p>
            <w:pPr>
              <w:spacing w:after="20"/>
              <w:ind w:left="20"/>
              <w:jc w:val="both"/>
            </w:pPr>
            <w:r>
              <w:rPr>
                <w:rFonts w:ascii="Times New Roman"/>
                <w:b w:val="false"/>
                <w:i w:val="false"/>
                <w:color w:val="000000"/>
                <w:sz w:val="20"/>
              </w:rPr>
              <w:t>
4) железнодорожная автоматика и телемеханика на сортировочных станциях обеспечивает:</w:t>
            </w:r>
          </w:p>
          <w:p>
            <w:pPr>
              <w:spacing w:after="20"/>
              <w:ind w:left="20"/>
              <w:jc w:val="both"/>
            </w:pPr>
            <w:r>
              <w:rPr>
                <w:rFonts w:ascii="Times New Roman"/>
                <w:b w:val="false"/>
                <w:i w:val="false"/>
                <w:color w:val="000000"/>
                <w:sz w:val="20"/>
              </w:rPr>
              <w:t>
непрерывное, бесперебойное и безопасное расформирование составов с расчетной (проектной) скоростью, безопасность сортировки вагонов;</w:t>
            </w:r>
          </w:p>
          <w:p>
            <w:pPr>
              <w:spacing w:after="20"/>
              <w:ind w:left="20"/>
              <w:jc w:val="both"/>
            </w:pPr>
            <w:r>
              <w:rPr>
                <w:rFonts w:ascii="Times New Roman"/>
                <w:b w:val="false"/>
                <w:i w:val="false"/>
                <w:color w:val="000000"/>
                <w:sz w:val="20"/>
              </w:rPr>
              <w:t>
индивидуальное управление стрелками;</w:t>
            </w:r>
          </w:p>
          <w:p>
            <w:pPr>
              <w:spacing w:after="20"/>
              <w:ind w:left="20"/>
              <w:jc w:val="both"/>
            </w:pPr>
            <w:r>
              <w:rPr>
                <w:rFonts w:ascii="Times New Roman"/>
                <w:b w:val="false"/>
                <w:i w:val="false"/>
                <w:color w:val="000000"/>
                <w:sz w:val="20"/>
              </w:rPr>
              <w:t>
исключение выхода железнодорожного подвижного состава в зону роспуска;</w:t>
            </w:r>
          </w:p>
          <w:p>
            <w:pPr>
              <w:spacing w:after="20"/>
              <w:ind w:left="20"/>
              <w:jc w:val="both"/>
            </w:pPr>
            <w:r>
              <w:rPr>
                <w:rFonts w:ascii="Times New Roman"/>
                <w:b w:val="false"/>
                <w:i w:val="false"/>
                <w:color w:val="000000"/>
                <w:sz w:val="20"/>
              </w:rPr>
              <w:t>
контроль положения стрелок и занятости стрелочных секций;</w:t>
            </w:r>
          </w:p>
          <w:p>
            <w:pPr>
              <w:spacing w:after="20"/>
              <w:ind w:left="20"/>
              <w:jc w:val="both"/>
            </w:pPr>
            <w:r>
              <w:rPr>
                <w:rFonts w:ascii="Times New Roman"/>
                <w:b w:val="false"/>
                <w:i w:val="false"/>
                <w:color w:val="000000"/>
                <w:sz w:val="20"/>
              </w:rPr>
              <w:t>
недопущение перевода стрелки под железнодорожным подвижным составом;</w:t>
            </w:r>
          </w:p>
          <w:p>
            <w:pPr>
              <w:spacing w:after="20"/>
              <w:ind w:left="20"/>
              <w:jc w:val="both"/>
            </w:pPr>
            <w:r>
              <w:rPr>
                <w:rFonts w:ascii="Times New Roman"/>
                <w:b w:val="false"/>
                <w:i w:val="false"/>
                <w:color w:val="000000"/>
                <w:sz w:val="20"/>
              </w:rPr>
              <w:t>
управление и контроль надвигом и роспуском;</w:t>
            </w:r>
          </w:p>
          <w:p>
            <w:pPr>
              <w:spacing w:after="20"/>
              <w:ind w:left="20"/>
              <w:jc w:val="both"/>
            </w:pPr>
            <w:r>
              <w:rPr>
                <w:rFonts w:ascii="Times New Roman"/>
                <w:b w:val="false"/>
                <w:i w:val="false"/>
                <w:color w:val="000000"/>
                <w:sz w:val="20"/>
              </w:rPr>
              <w:t>
5) система технической диагностики и мониторинга обеспечивает контроль предотказного состояния устройств железнодорожной автоматики и телемеханики;</w:t>
            </w:r>
          </w:p>
          <w:p>
            <w:pPr>
              <w:spacing w:after="20"/>
              <w:ind w:left="20"/>
              <w:jc w:val="both"/>
            </w:pPr>
            <w:r>
              <w:rPr>
                <w:rFonts w:ascii="Times New Roman"/>
                <w:b w:val="false"/>
                <w:i w:val="false"/>
                <w:color w:val="000000"/>
                <w:sz w:val="20"/>
              </w:rPr>
              <w:t>
6) железнодорожная автоматика и телемеханика совместима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7) железнодорожная автоматика и телемеханика, составные части железнодорожной автоматики и телемеханики и элементы составных частей железнодорожной автоматики и телемеханики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безопасности железнодорожной электросвязи, составных частей железнодорожной электросвязи и элементов составных частей железнодорожной электросвязи и инфраструктуры железнодорожного транспорта нижеследующему:</w:t>
            </w:r>
          </w:p>
          <w:p>
            <w:pPr>
              <w:spacing w:after="20"/>
              <w:ind w:left="20"/>
              <w:jc w:val="both"/>
            </w:pPr>
            <w:r>
              <w:rPr>
                <w:rFonts w:ascii="Times New Roman"/>
                <w:b w:val="false"/>
                <w:i w:val="false"/>
                <w:color w:val="000000"/>
                <w:sz w:val="20"/>
              </w:rPr>
              <w:t>
1) железнодорожная электросвязь, составные части железнодорожной электросвязи и элементы составных частей железнодорожной электросвязи обеспечивают безопасное движение железнодорожного подвижного состава с установленной скоростью и минимальным интервалом следования;</w:t>
            </w:r>
          </w:p>
          <w:p>
            <w:pPr>
              <w:spacing w:after="20"/>
              <w:ind w:left="20"/>
              <w:jc w:val="both"/>
            </w:pPr>
            <w:r>
              <w:rPr>
                <w:rFonts w:ascii="Times New Roman"/>
                <w:b w:val="false"/>
                <w:i w:val="false"/>
                <w:color w:val="000000"/>
                <w:sz w:val="20"/>
              </w:rPr>
              <w:t>
2) железнодорожная электросвязь, составные части железнодорожной электросвязи и элементы составных частей железнодорожной электросвязи обеспечивают мониторинг параметров функционирования и интегрированного управления технологической сетью связи и частотно-временную синхронизацию;</w:t>
            </w:r>
          </w:p>
          <w:p>
            <w:pPr>
              <w:spacing w:after="20"/>
              <w:ind w:left="20"/>
              <w:jc w:val="both"/>
            </w:pPr>
            <w:r>
              <w:rPr>
                <w:rFonts w:ascii="Times New Roman"/>
                <w:b w:val="false"/>
                <w:i w:val="false"/>
                <w:color w:val="000000"/>
                <w:sz w:val="20"/>
              </w:rPr>
              <w:t>
3) железнодорожная электросвязь, составные части железнодорожной электросвязи и элементы составных частей железнодорожной электросвязи совместимы с другими подсистемами инфраструктуры железнодорожного транспорта и железнодорожным подвижным составом;</w:t>
            </w:r>
          </w:p>
          <w:p>
            <w:pPr>
              <w:spacing w:after="20"/>
              <w:ind w:left="20"/>
              <w:jc w:val="both"/>
            </w:pPr>
            <w:r>
              <w:rPr>
                <w:rFonts w:ascii="Times New Roman"/>
                <w:b w:val="false"/>
                <w:i w:val="false"/>
                <w:color w:val="000000"/>
                <w:sz w:val="20"/>
              </w:rPr>
              <w:t>
4) железнодорожная электросвязь, составные части железнодорожной электросвязи и элементы составных частей железнодорожной электросвязи сохраняют работоспособное состояние во всех предусмотренных при проектировании условиях и режимах в течение установленных для них сроков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прямого или косвенного воздействия электрического тока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возникновения повышенных температур, дуговых разрядов или излучений, которые приводят к появлению опасностей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травм вращающимися и неподвижными частями низковольтного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защиты от опасностей неэлектрического происхождения, возникающих при применении низковольтного оборудования, в том числе вызванных физическими, химическими или биологическими факторами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изоляционной защите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механической и коммутационной износостойкости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низковольтного оборудования необходимому уровню устойчивости к внешним воздействующим факторам, в том числе немеханического характера, при соответствующих климатических условиях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перегрузках, аварийных режимах и отказах, вызываемых влиянием внешних и внутренних воздействующих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по отсутствию недопустимого риска при подключении и (или) монтаже.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низковольтному оборудованию при разработке и его изготовлению, по исключению факторов влекущих возникновения пожара в нормальных и аварийных условиях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для потребителя (пользователя) необходимого уровня информации для безопасного применения низковольтного оборудования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бытового назначения по классу опасности не выше III класса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пиротехнических изделий требованиям перевозки различными видами транспорта в качестве опасных грузов, транспортная опасность которых определяется на основе международных принципов классификации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максимально допустимого уровня безопасности пиротехнических изделий, в том числе:</w:t>
            </w:r>
          </w:p>
          <w:p>
            <w:pPr>
              <w:spacing w:after="20"/>
              <w:ind w:left="20"/>
              <w:jc w:val="both"/>
            </w:pPr>
            <w:r>
              <w:rPr>
                <w:rFonts w:ascii="Times New Roman"/>
                <w:b w:val="false"/>
                <w:i w:val="false"/>
                <w:color w:val="000000"/>
                <w:sz w:val="20"/>
              </w:rPr>
              <w:t>
1) пиротехнические изделия I-IV классов при задействовании от встроенного узла запуска или внешнего стандартного электродетонатора (типа ЭД-8) не детонируют, а случайное срабатывание изделия не приведет к аномальной работе (изменению номенклатуры опасных факторов и радиуса опасной зоны) расположенного в непосредственной близости (в упаковке) от него такого же изделия;</w:t>
            </w:r>
          </w:p>
          <w:p>
            <w:pPr>
              <w:spacing w:after="20"/>
              <w:ind w:left="20"/>
              <w:jc w:val="both"/>
            </w:pPr>
            <w:r>
              <w:rPr>
                <w:rFonts w:ascii="Times New Roman"/>
                <w:b w:val="false"/>
                <w:i w:val="false"/>
                <w:color w:val="000000"/>
                <w:sz w:val="20"/>
              </w:rPr>
              <w:t>
2) время замедления до начала работы пиротехнического изделия бытового назначения, создающего эффект на высоте, достаточное для удаления потребителя на расстояние, указанное в инструкции по применению;</w:t>
            </w:r>
          </w:p>
          <w:p>
            <w:pPr>
              <w:spacing w:after="20"/>
              <w:ind w:left="20"/>
              <w:jc w:val="both"/>
            </w:pPr>
            <w:r>
              <w:rPr>
                <w:rFonts w:ascii="Times New Roman"/>
                <w:b w:val="false"/>
                <w:i w:val="false"/>
                <w:color w:val="000000"/>
                <w:sz w:val="20"/>
              </w:rPr>
              <w:t>
3) для пиротехнических изделий бытового назначения в процессе хранения и эксплуатации запрещается проверка работоспособности, а также проверка электрических устройств инициирования;</w:t>
            </w:r>
          </w:p>
          <w:p>
            <w:pPr>
              <w:spacing w:after="20"/>
              <w:ind w:left="20"/>
              <w:jc w:val="both"/>
            </w:pPr>
            <w:r>
              <w:rPr>
                <w:rFonts w:ascii="Times New Roman"/>
                <w:b w:val="false"/>
                <w:i w:val="false"/>
                <w:color w:val="000000"/>
                <w:sz w:val="20"/>
              </w:rPr>
              <w:t>
4) не допускается использование электрических систем инициирования в изделиях I класса;</w:t>
            </w:r>
          </w:p>
          <w:p>
            <w:pPr>
              <w:spacing w:after="20"/>
              <w:ind w:left="20"/>
              <w:jc w:val="both"/>
            </w:pPr>
            <w:r>
              <w:rPr>
                <w:rFonts w:ascii="Times New Roman"/>
                <w:b w:val="false"/>
                <w:i w:val="false"/>
                <w:color w:val="000000"/>
                <w:sz w:val="20"/>
              </w:rPr>
              <w:t>
5) эксплуатационная документация на фейерверочные изделия содержит следующую дополнительную специальную информацию:</w:t>
            </w:r>
          </w:p>
          <w:p>
            <w:pPr>
              <w:spacing w:after="20"/>
              <w:ind w:left="20"/>
              <w:jc w:val="both"/>
            </w:pPr>
            <w:r>
              <w:rPr>
                <w:rFonts w:ascii="Times New Roman"/>
                <w:b w:val="false"/>
                <w:i w:val="false"/>
                <w:color w:val="000000"/>
                <w:sz w:val="20"/>
              </w:rPr>
              <w:t>
значение максимального давления, создаваемого в мортире (иных силовых воздействий на пусковое оборудование);</w:t>
            </w:r>
          </w:p>
          <w:p>
            <w:pPr>
              <w:spacing w:after="20"/>
              <w:ind w:left="20"/>
              <w:jc w:val="both"/>
            </w:pPr>
            <w:r>
              <w:rPr>
                <w:rFonts w:ascii="Times New Roman"/>
                <w:b w:val="false"/>
                <w:i w:val="false"/>
                <w:color w:val="000000"/>
                <w:sz w:val="20"/>
              </w:rPr>
              <w:t>
описание производимых эффектов;</w:t>
            </w:r>
          </w:p>
          <w:p>
            <w:pPr>
              <w:spacing w:after="20"/>
              <w:ind w:left="20"/>
              <w:jc w:val="both"/>
            </w:pPr>
            <w:r>
              <w:rPr>
                <w:rFonts w:ascii="Times New Roman"/>
                <w:b w:val="false"/>
                <w:i w:val="false"/>
                <w:color w:val="000000"/>
                <w:sz w:val="20"/>
              </w:rPr>
              <w:t xml:space="preserve">
указание высоты разрыва (подъема); </w:t>
            </w:r>
          </w:p>
          <w:p>
            <w:pPr>
              <w:spacing w:after="20"/>
              <w:ind w:left="20"/>
              <w:jc w:val="both"/>
            </w:pPr>
            <w:r>
              <w:rPr>
                <w:rFonts w:ascii="Times New Roman"/>
                <w:b w:val="false"/>
                <w:i w:val="false"/>
                <w:color w:val="000000"/>
                <w:sz w:val="20"/>
              </w:rPr>
              <w:t>
указание возможной высоты догорания пироэлементов;</w:t>
            </w:r>
          </w:p>
          <w:p>
            <w:pPr>
              <w:spacing w:after="20"/>
              <w:ind w:left="20"/>
              <w:jc w:val="both"/>
            </w:pPr>
            <w:r>
              <w:rPr>
                <w:rFonts w:ascii="Times New Roman"/>
                <w:b w:val="false"/>
                <w:i w:val="false"/>
                <w:color w:val="000000"/>
                <w:sz w:val="20"/>
              </w:rPr>
              <w:t>
радиус опасной зоны в зависимости от скорости ветра;</w:t>
            </w:r>
          </w:p>
          <w:p>
            <w:pPr>
              <w:spacing w:after="20"/>
              <w:ind w:left="20"/>
              <w:jc w:val="both"/>
            </w:pPr>
            <w:r>
              <w:rPr>
                <w:rFonts w:ascii="Times New Roman"/>
                <w:b w:val="false"/>
                <w:i w:val="false"/>
                <w:color w:val="000000"/>
                <w:sz w:val="20"/>
              </w:rPr>
              <w:t>
время замедления (для изделий с огнепроводным элементом);</w:t>
            </w:r>
          </w:p>
          <w:p>
            <w:pPr>
              <w:spacing w:after="20"/>
              <w:ind w:left="20"/>
              <w:jc w:val="both"/>
            </w:pPr>
            <w:r>
              <w:rPr>
                <w:rFonts w:ascii="Times New Roman"/>
                <w:b w:val="false"/>
                <w:i w:val="false"/>
                <w:color w:val="000000"/>
                <w:sz w:val="20"/>
              </w:rPr>
              <w:t>
рекомендуемые размеры (диаметр, длина рабочей части) мортиры;</w:t>
            </w:r>
          </w:p>
          <w:p>
            <w:pPr>
              <w:spacing w:after="20"/>
              <w:ind w:left="20"/>
              <w:jc w:val="both"/>
            </w:pPr>
            <w:r>
              <w:rPr>
                <w:rFonts w:ascii="Times New Roman"/>
                <w:b w:val="false"/>
                <w:i w:val="false"/>
                <w:color w:val="000000"/>
                <w:sz w:val="20"/>
              </w:rPr>
              <w:t>
6) пиротехнические изделия для проведения групповых игр и развития технического творчества (маркирующие, сигнальные, целеуказательные гранаты, ракеты, мины, микродвигатели, инициирующие и метательные устройства):</w:t>
            </w:r>
          </w:p>
          <w:p>
            <w:pPr>
              <w:spacing w:after="20"/>
              <w:ind w:left="20"/>
              <w:jc w:val="both"/>
            </w:pPr>
            <w:r>
              <w:rPr>
                <w:rFonts w:ascii="Times New Roman"/>
                <w:b w:val="false"/>
                <w:i w:val="false"/>
                <w:color w:val="000000"/>
                <w:sz w:val="20"/>
              </w:rPr>
              <w:t>
не имеют опасность выше IV класса;</w:t>
            </w:r>
          </w:p>
          <w:p>
            <w:pPr>
              <w:spacing w:after="20"/>
              <w:ind w:left="20"/>
              <w:jc w:val="both"/>
            </w:pPr>
            <w:r>
              <w:rPr>
                <w:rFonts w:ascii="Times New Roman"/>
                <w:b w:val="false"/>
                <w:i w:val="false"/>
                <w:color w:val="000000"/>
                <w:sz w:val="20"/>
              </w:rPr>
              <w:t>
имеют эксплуатационную документацию, содержащую специальную информацию, в том числе перечень необходимых защитных средств потребителей, характеристики направленности и дальности полета, ограничения по условиям эксплуатации (видимость, скорость ветра, сила отдачи, характер поверхности, на которой эксплуатируются данные изделия), а также предупреждение о недопустимости их эксплуатации вне специально оборудованного игрового поля (площадки) и без надзора инструктора;</w:t>
            </w:r>
          </w:p>
          <w:p>
            <w:pPr>
              <w:spacing w:after="20"/>
              <w:ind w:left="20"/>
              <w:jc w:val="both"/>
            </w:pPr>
            <w:r>
              <w:rPr>
                <w:rFonts w:ascii="Times New Roman"/>
                <w:b w:val="false"/>
                <w:i w:val="false"/>
                <w:color w:val="000000"/>
                <w:sz w:val="20"/>
              </w:rPr>
              <w:t>
7) на пиротехнические изделия оформляется конструкторская и технологическая документация, соблюдение которой обеспечивает соответствие разработанных пиротехнических изделий на всех последующих этапах обращения. Указание в конструкторской документации технических требований, характеристик, определяющих безопасность пиротехнических изделий, без указания метода их контроля не допускается;</w:t>
            </w:r>
          </w:p>
          <w:p>
            <w:pPr>
              <w:spacing w:after="20"/>
              <w:ind w:left="20"/>
              <w:jc w:val="both"/>
            </w:pPr>
            <w:r>
              <w:rPr>
                <w:rFonts w:ascii="Times New Roman"/>
                <w:b w:val="false"/>
                <w:i w:val="false"/>
                <w:color w:val="000000"/>
                <w:sz w:val="20"/>
              </w:rPr>
              <w:t>
8) для пиротехнических изделий определяются опасные факторы на всех этапах обращения с ними с учетом:</w:t>
            </w:r>
          </w:p>
          <w:p>
            <w:pPr>
              <w:spacing w:after="20"/>
              <w:ind w:left="20"/>
              <w:jc w:val="both"/>
            </w:pPr>
            <w:r>
              <w:rPr>
                <w:rFonts w:ascii="Times New Roman"/>
                <w:b w:val="false"/>
                <w:i w:val="false"/>
                <w:color w:val="000000"/>
                <w:sz w:val="20"/>
              </w:rPr>
              <w:t>
свойств используемых пиротехнических составов;</w:t>
            </w:r>
          </w:p>
          <w:p>
            <w:pPr>
              <w:spacing w:after="20"/>
              <w:ind w:left="20"/>
              <w:jc w:val="both"/>
            </w:pPr>
            <w:r>
              <w:rPr>
                <w:rFonts w:ascii="Times New Roman"/>
                <w:b w:val="false"/>
                <w:i w:val="false"/>
                <w:color w:val="000000"/>
                <w:sz w:val="20"/>
              </w:rPr>
              <w:t>
чувствительности пиротехнических изделий к воздействию внешних факторов;</w:t>
            </w:r>
          </w:p>
          <w:p>
            <w:pPr>
              <w:spacing w:after="20"/>
              <w:ind w:left="20"/>
              <w:jc w:val="both"/>
            </w:pPr>
            <w:r>
              <w:rPr>
                <w:rFonts w:ascii="Times New Roman"/>
                <w:b w:val="false"/>
                <w:i w:val="false"/>
                <w:color w:val="000000"/>
                <w:sz w:val="20"/>
              </w:rPr>
              <w:t>
особенностей конструкции пиротехнического изделия и его упаковки;</w:t>
            </w:r>
          </w:p>
          <w:p>
            <w:pPr>
              <w:spacing w:after="20"/>
              <w:ind w:left="20"/>
              <w:jc w:val="both"/>
            </w:pPr>
            <w:r>
              <w:rPr>
                <w:rFonts w:ascii="Times New Roman"/>
                <w:b w:val="false"/>
                <w:i w:val="false"/>
                <w:color w:val="000000"/>
                <w:sz w:val="20"/>
              </w:rPr>
              <w:t>
способов и условий эксплуатации пиротехнических изделий;</w:t>
            </w:r>
          </w:p>
          <w:p>
            <w:pPr>
              <w:spacing w:after="20"/>
              <w:ind w:left="20"/>
              <w:jc w:val="both"/>
            </w:pPr>
            <w:r>
              <w:rPr>
                <w:rFonts w:ascii="Times New Roman"/>
                <w:b w:val="false"/>
                <w:i w:val="false"/>
                <w:color w:val="000000"/>
                <w:sz w:val="20"/>
              </w:rPr>
              <w:t>
способов и методов утилизации пиротехнических изделий;</w:t>
            </w:r>
          </w:p>
          <w:p>
            <w:pPr>
              <w:spacing w:after="20"/>
              <w:ind w:left="20"/>
              <w:jc w:val="both"/>
            </w:pPr>
            <w:r>
              <w:rPr>
                <w:rFonts w:ascii="Times New Roman"/>
                <w:b w:val="false"/>
                <w:i w:val="false"/>
                <w:color w:val="000000"/>
                <w:sz w:val="20"/>
              </w:rPr>
              <w:t>
9) для пиротехнических изделий анализируются и устанавливаются меры по обеспечению безопасности на всех последующих этапах обращения с ними путем:</w:t>
            </w:r>
          </w:p>
          <w:p>
            <w:pPr>
              <w:spacing w:after="20"/>
              <w:ind w:left="20"/>
              <w:jc w:val="both"/>
            </w:pPr>
            <w:r>
              <w:rPr>
                <w:rFonts w:ascii="Times New Roman"/>
                <w:b w:val="false"/>
                <w:i w:val="false"/>
                <w:color w:val="000000"/>
                <w:sz w:val="20"/>
              </w:rPr>
              <w:t>
исследования и определения характеристик опасности, включая установление класса опасности;</w:t>
            </w:r>
          </w:p>
          <w:p>
            <w:pPr>
              <w:spacing w:after="20"/>
              <w:ind w:left="20"/>
              <w:jc w:val="both"/>
            </w:pPr>
            <w:r>
              <w:rPr>
                <w:rFonts w:ascii="Times New Roman"/>
                <w:b w:val="false"/>
                <w:i w:val="false"/>
                <w:color w:val="000000"/>
                <w:sz w:val="20"/>
              </w:rPr>
              <w:t>
определения условий, сроков годности и требований по перевозке, в том числе классификационных кодов пиротехнических изделий в целях перевозки опасных грузов;</w:t>
            </w:r>
          </w:p>
          <w:p>
            <w:pPr>
              <w:spacing w:after="20"/>
              <w:ind w:left="20"/>
              <w:jc w:val="both"/>
            </w:pPr>
            <w:r>
              <w:rPr>
                <w:rFonts w:ascii="Times New Roman"/>
                <w:b w:val="false"/>
                <w:i w:val="false"/>
                <w:color w:val="000000"/>
                <w:sz w:val="20"/>
              </w:rPr>
              <w:t>
разработки необходимой для потребителя информации по безопасной эксплуатации и утилизации пиротехнических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пиротехническим изделиям бытового назначения по упаковыванию в транспортную тару, содержащую средства пламегашения и подвергнутую огнезащитной обработке, с нанесением на тару специального знака пожарной безопасности "Упаковка с огнезащитой" и надписи "Внутренняя огнезащита"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в процессе реализации пиротехнических изделий нижеследующему:</w:t>
            </w:r>
          </w:p>
          <w:p>
            <w:pPr>
              <w:spacing w:after="20"/>
              <w:ind w:left="20"/>
              <w:jc w:val="both"/>
            </w:pPr>
            <w:r>
              <w:rPr>
                <w:rFonts w:ascii="Times New Roman"/>
                <w:b w:val="false"/>
                <w:i w:val="false"/>
                <w:color w:val="000000"/>
                <w:sz w:val="20"/>
              </w:rPr>
              <w:t>
1) реализация пиротехнических изделий технического назначения производится юридическим лицом, имеющим лицензию (разрешение) на распространение пиротехнических изделий IV и V классов;</w:t>
            </w:r>
          </w:p>
          <w:p>
            <w:pPr>
              <w:spacing w:after="20"/>
              <w:ind w:left="20"/>
              <w:jc w:val="both"/>
            </w:pPr>
            <w:r>
              <w:rPr>
                <w:rFonts w:ascii="Times New Roman"/>
                <w:b w:val="false"/>
                <w:i w:val="false"/>
                <w:color w:val="000000"/>
                <w:sz w:val="20"/>
              </w:rPr>
              <w:t>
2) розничная торговля пиротехническими изделиями бытового назначения производится в магазинах, отделах и секциях магазинов, павильонах и киосках, обеспечивающих сохранность продукции, исключающих попадание на нее прямых солнечных лучей и атмосферных осадков. Непосредственные нормы загрузки торговых помещений пиротехническими изделиями устанавливаются из расчета 1200 кг пиротехнических изделий по массе брутто на каждые 25 м</w:t>
            </w:r>
            <w:r>
              <w:rPr>
                <w:rFonts w:ascii="Times New Roman"/>
                <w:b w:val="false"/>
                <w:i w:val="false"/>
                <w:color w:val="000000"/>
                <w:vertAlign w:val="superscript"/>
              </w:rPr>
              <w:t>2</w:t>
            </w:r>
            <w:r>
              <w:rPr>
                <w:rFonts w:ascii="Times New Roman"/>
                <w:b w:val="false"/>
                <w:i w:val="false"/>
                <w:color w:val="000000"/>
                <w:sz w:val="20"/>
              </w:rPr>
              <w:t xml:space="preserve"> торгового помещения. В торговых помещениях менее 25 м</w:t>
            </w:r>
            <w:r>
              <w:rPr>
                <w:rFonts w:ascii="Times New Roman"/>
                <w:b w:val="false"/>
                <w:i w:val="false"/>
                <w:color w:val="000000"/>
                <w:vertAlign w:val="superscript"/>
              </w:rPr>
              <w:t>2</w:t>
            </w:r>
            <w:r>
              <w:rPr>
                <w:rFonts w:ascii="Times New Roman"/>
                <w:b w:val="false"/>
                <w:i w:val="false"/>
                <w:color w:val="000000"/>
                <w:sz w:val="20"/>
              </w:rPr>
              <w:t xml:space="preserve"> допускается хранение и реализация одновременно не более 333 кг пиротехнических изделий бытового назначения по массе брутто;</w:t>
            </w:r>
          </w:p>
          <w:p>
            <w:pPr>
              <w:spacing w:after="20"/>
              <w:ind w:left="20"/>
              <w:jc w:val="both"/>
            </w:pPr>
            <w:r>
              <w:rPr>
                <w:rFonts w:ascii="Times New Roman"/>
                <w:b w:val="false"/>
                <w:i w:val="false"/>
                <w:color w:val="000000"/>
                <w:sz w:val="20"/>
              </w:rPr>
              <w:t>
3) расположение помещений, в которых осуществляется реализация пиротехнических изделий бытового назначения, не создавать препятствий для эвакуации людей при нештатных ситуациях. Торговые помещения для реализации пиротехнических изделий бытового назначения оборудуются средствами пожарной сигнализации и первичными средствами пожаротушения. Допускается устанавливать дополнительные требования пожарной безопасности в соответствии с правилами пожарной безопасности;</w:t>
            </w:r>
          </w:p>
          <w:p>
            <w:pPr>
              <w:spacing w:after="20"/>
              <w:ind w:left="20"/>
              <w:jc w:val="both"/>
            </w:pPr>
            <w:r>
              <w:rPr>
                <w:rFonts w:ascii="Times New Roman"/>
                <w:b w:val="false"/>
                <w:i w:val="false"/>
                <w:color w:val="000000"/>
                <w:sz w:val="20"/>
              </w:rPr>
              <w:t>
4) витрины с образцами пиротехнических изделий бытового назначения в торговых помещениях обеспечивают возможность ознакомления покупателя с надписями на пиротехнических изделиях и исключают любые действия покупателей с изделиями, кроме визуального осмотра;</w:t>
            </w:r>
          </w:p>
          <w:p>
            <w:pPr>
              <w:spacing w:after="20"/>
              <w:ind w:left="20"/>
              <w:jc w:val="both"/>
            </w:pPr>
            <w:r>
              <w:rPr>
                <w:rFonts w:ascii="Times New Roman"/>
                <w:b w:val="false"/>
                <w:i w:val="false"/>
                <w:color w:val="000000"/>
                <w:sz w:val="20"/>
              </w:rPr>
              <w:t>
5) пиротехнические изделия бытового назначения располагаются не ближе 0,5 м от нагревательных приборов системы отопления. Работы, сопровождающиеся механическими и (или) тепловыми действиями, в помещениях с пиротехническими изделиями бытового назначения не допускаются;</w:t>
            </w:r>
          </w:p>
          <w:p>
            <w:pPr>
              <w:spacing w:after="20"/>
              <w:ind w:left="20"/>
              <w:jc w:val="both"/>
            </w:pPr>
            <w:r>
              <w:rPr>
                <w:rFonts w:ascii="Times New Roman"/>
                <w:b w:val="false"/>
                <w:i w:val="false"/>
                <w:color w:val="000000"/>
                <w:sz w:val="20"/>
              </w:rPr>
              <w:t>
6) в торговых помещениях магазинов самообслуживания реализация пиротехнических изделий бытового назначения производится только в специализированных секциях продавцами-консультантами, непосредственный доступ покупателей к пиротехническим изделиям бытового назначения исключается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машине и оборудовании четких и нестираемых предупреждающих надписей или знаков о видах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машине и оборудовании хорошо различимой четкой и нестираемой идентификационной надписи, содержащую: </w:t>
            </w:r>
          </w:p>
          <w:p>
            <w:pPr>
              <w:spacing w:after="20"/>
              <w:ind w:left="20"/>
              <w:jc w:val="both"/>
            </w:pPr>
            <w:r>
              <w:rPr>
                <w:rFonts w:ascii="Times New Roman"/>
                <w:b w:val="false"/>
                <w:i w:val="false"/>
                <w:color w:val="000000"/>
                <w:sz w:val="20"/>
              </w:rPr>
              <w:t>
1) наименование изготовителя и его товарный знак;</w:t>
            </w:r>
          </w:p>
          <w:p>
            <w:pPr>
              <w:spacing w:after="20"/>
              <w:ind w:left="20"/>
              <w:jc w:val="both"/>
            </w:pPr>
            <w:r>
              <w:rPr>
                <w:rFonts w:ascii="Times New Roman"/>
                <w:b w:val="false"/>
                <w:i w:val="false"/>
                <w:color w:val="000000"/>
                <w:sz w:val="20"/>
              </w:rPr>
              <w:t>
2) наименование и обозначение машины и оборудования (тип, марка, модель (при наличии));</w:t>
            </w:r>
          </w:p>
          <w:p>
            <w:pPr>
              <w:spacing w:after="20"/>
              <w:ind w:left="20"/>
              <w:jc w:val="both"/>
            </w:pPr>
            <w:r>
              <w:rPr>
                <w:rFonts w:ascii="Times New Roman"/>
                <w:b w:val="false"/>
                <w:i w:val="false"/>
                <w:color w:val="000000"/>
                <w:sz w:val="20"/>
              </w:rPr>
              <w:t>
месяц и год изготовления, а при невозможности нанести на машину и оборудование, с указанием надписи в прилагаемом к данной машине и оборудованию руководстве (инструкции) по эксплуатации. При этом наименование изготовителя и его товарный знак, наименование и обозначение машины и оборудования (тип, марка, модель (при наличии))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сведений идентификационной надписи машины и оборудования, в руководстве (инструкции) по эксплуатации с содержанием наименования и местонахождения изготовителя (уполномоченного изготовителем лица), импортера, информации для связи с ними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руководства (инструкции) по эксплуатации машины и оборудования выполненного на русском языке и на государственном языке государства - члена Евразийского экономического союза при наличии соответствующих требований в законодательстве государства – члена Евразийского экономического союза, на бумажных носителях, на электронных носителях, а также только на электронных носителях входящее в комплект машины и оборудования не бытового назначения, по выбору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безопасных материалов и веществ, для упаковки машины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безопасности при транспортировании и хранении машин и оборудования, их узлов и деталей, предусмотренных проектной (конструкторской) и эксплуатационной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согласования с разработчиком (проектировщиком), при изменении конструкции машины и оборудования, возникающие при их ремонте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оценки соответствия в форме технического освидетельствования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для обеспечения безопасности лифта и устройств безопасности лифтов выполняются следующие требования: </w:t>
            </w:r>
          </w:p>
          <w:p>
            <w:pPr>
              <w:spacing w:after="20"/>
              <w:ind w:left="20"/>
              <w:jc w:val="both"/>
            </w:pPr>
            <w:r>
              <w:rPr>
                <w:rFonts w:ascii="Times New Roman"/>
                <w:b w:val="false"/>
                <w:i w:val="false"/>
                <w:color w:val="000000"/>
                <w:sz w:val="20"/>
              </w:rPr>
              <w:t>
недоступность для пользователей и посторонних лиц оборудования лифта, устанавливаемого в:</w:t>
            </w:r>
          </w:p>
          <w:p>
            <w:pPr>
              <w:spacing w:after="20"/>
              <w:ind w:left="20"/>
              <w:jc w:val="both"/>
            </w:pPr>
            <w:r>
              <w:rPr>
                <w:rFonts w:ascii="Times New Roman"/>
                <w:b w:val="false"/>
                <w:i w:val="false"/>
                <w:color w:val="000000"/>
                <w:sz w:val="20"/>
              </w:rPr>
              <w:t>
1) шкафах для размещения оборудования;</w:t>
            </w:r>
          </w:p>
          <w:p>
            <w:pPr>
              <w:spacing w:after="20"/>
              <w:ind w:left="20"/>
              <w:jc w:val="both"/>
            </w:pPr>
            <w:r>
              <w:rPr>
                <w:rFonts w:ascii="Times New Roman"/>
                <w:b w:val="false"/>
                <w:i w:val="false"/>
                <w:color w:val="000000"/>
                <w:sz w:val="20"/>
              </w:rPr>
              <w:t>
2) машинном помещении;</w:t>
            </w:r>
          </w:p>
          <w:p>
            <w:pPr>
              <w:spacing w:after="20"/>
              <w:ind w:left="20"/>
              <w:jc w:val="both"/>
            </w:pPr>
            <w:r>
              <w:rPr>
                <w:rFonts w:ascii="Times New Roman"/>
                <w:b w:val="false"/>
                <w:i w:val="false"/>
                <w:color w:val="000000"/>
                <w:sz w:val="20"/>
              </w:rPr>
              <w:t>
3) блочном помещении;</w:t>
            </w:r>
          </w:p>
          <w:p>
            <w:pPr>
              <w:spacing w:after="20"/>
              <w:ind w:left="20"/>
              <w:jc w:val="both"/>
            </w:pPr>
            <w:r>
              <w:rPr>
                <w:rFonts w:ascii="Times New Roman"/>
                <w:b w:val="false"/>
                <w:i w:val="false"/>
                <w:color w:val="000000"/>
                <w:sz w:val="20"/>
              </w:rPr>
              <w:t>
шахте лифта, за исключением оборудования расположенного в кабине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по защите пользователей и посторонних лиц от получения травм в результате соприкосновения с движущимися частями оборудования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защиты, блокировки для остановки или предотвращения движения кабины лифта, если дверь шахты не закрыта, не заперта; дверь для технического обслуживания оборудования, аварийная дверь, крышка смотрового и аварийного люка, дверь кабины не закрыты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освещения кабины лифта, предназначенной для перевозки людей, в том числе при перебое в электроснабжении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по предотвращению падения людей в шахту лифта с этажных и прилегающих к шахте площадок здания (сооружения) и из кабины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размера дверного проема лифта безопасному входу в кабину и выхода из нее на этажную площадку, безопасную загрузку и разгрузку кабины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расстояния между элементами конструкции кабины и шахты лифта исключению возможности проникновения человека в шахту при открытых дверях шахты и кабины, а также при нахождении кабины в зоне этажной 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по предотвращению или уменьшению усилия сдавливания человека или предмета, находящегося на пути движения автоматически закрывающейся двери кабины и (или) шахты лифта, до пределов, снижающих опасность получения травм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кабины, тяговых элементов, подвески и опоры кабины лифта, противовесов, элементов их крепления выдерживанию нагрузки, возникающей при использовании по назначению и испытаниях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предназначенного для перемещения людей, средств для подключения к двусторонней переговорной связи, при помощи которой пассажир может вызвать помощь извне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кабине лифта средств, предотвращающих пуск перегруженной кабины в режиме нормальной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перемещение кабины за пределы крайних рабочих положений (этажных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ограничивающих величину превышения номинальной скорости кабины лифта при движении вниз до пределов, снижающих опасность получения травм или поломки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ловители и буфера при их срабатывании обеспечивают замедление движения кабины с целью снижения опасности получения травм или поломки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обеспечению воздухообмена в кабине лифта, предназначенной для перемещения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безопасного входа персонала на рабочую площадку в шахте и крышу кабины лифта и выход с нее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соблюдения требования, при котором рабочая площадка и крыша кабины лифта (при необходимости размещения персонала) выдерживает нагрузки от находящегося на ней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и мер, снижающих риск падения персонала с рабочей площадки, находящейся в шахте, и с крыши кабины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остановки и управления движением кабины лифта персоналом при проведении технического обслуживания. В том числе соблюдение требования при котором при необходимости перемещения персонала по шахте на кабине предусматриваются средства для управления движением на безопасной скорости и остановки кабины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для предотвращения травмирования находящегося в шахте лифта персонала при неконтролируемом движении частей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предотвращению травмирования персонала элементами лифтового оборудования: ремнями, шкивами, блоками, выступающим валом двигателя, шестернями, звездочками, приводными цепями при их движении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средств для создания уровня освещенности зон обслуживания лифта и лифтового оборудования, достаточного для безопасного проведения работ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и средств по обеспечению электробезопасности пользователей, и персонала лифта и лифтового оборудования при их воздействии на аппараты управления лифтом и прикосновении к токопроводящим конструкциям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предела огнестойкости дверей шахты лифта требованиям пожарной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мер, обеспечивающих возможность пассажирам безопасно покинуть кабину лифта при возникновении пожарной опасности в здании (сооружении)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требований, при котором для обеспечения безопасности на лифте, предназначенном, в том числе для перевозки лиц с инвалидностью и маломобильных групп населения, выполняется нижеследующее: </w:t>
            </w:r>
          </w:p>
          <w:p>
            <w:pPr>
              <w:spacing w:after="20"/>
              <w:ind w:left="20"/>
              <w:jc w:val="both"/>
            </w:pPr>
            <w:r>
              <w:rPr>
                <w:rFonts w:ascii="Times New Roman"/>
                <w:b w:val="false"/>
                <w:i w:val="false"/>
                <w:color w:val="000000"/>
                <w:sz w:val="20"/>
              </w:rPr>
              <w:t>
1) размеры кабины, дверного проема кабины и шахты обеспечивают безопасный въезд и выезд из кабины, а также размещение в кабине пользователя на кресле-коляске;</w:t>
            </w:r>
          </w:p>
          <w:p>
            <w:pPr>
              <w:spacing w:after="20"/>
              <w:ind w:left="20"/>
              <w:jc w:val="both"/>
            </w:pPr>
            <w:r>
              <w:rPr>
                <w:rFonts w:ascii="Times New Roman"/>
                <w:b w:val="false"/>
                <w:i w:val="false"/>
                <w:color w:val="000000"/>
                <w:sz w:val="20"/>
              </w:rPr>
              <w:t>
2) двери кабины и шахты лифта, предназначенного для транспортирования пользователя в кресле-коляске без сопровождающих, открываются и закрываются автоматически;</w:t>
            </w:r>
          </w:p>
          <w:p>
            <w:pPr>
              <w:spacing w:after="20"/>
              <w:ind w:left="20"/>
              <w:jc w:val="both"/>
            </w:pPr>
            <w:r>
              <w:rPr>
                <w:rFonts w:ascii="Times New Roman"/>
                <w:b w:val="false"/>
                <w:i w:val="false"/>
                <w:color w:val="000000"/>
                <w:sz w:val="20"/>
              </w:rPr>
              <w:t>
3) кабина лифта оборудуется, по крайней мере, одним поручнем, расположение которого облегчает пользователю доступ в кабину и к устройствам управления;</w:t>
            </w:r>
          </w:p>
          <w:p>
            <w:pPr>
              <w:spacing w:after="20"/>
              <w:ind w:left="20"/>
              <w:jc w:val="both"/>
            </w:pPr>
            <w:r>
              <w:rPr>
                <w:rFonts w:ascii="Times New Roman"/>
                <w:b w:val="false"/>
                <w:i w:val="false"/>
                <w:color w:val="000000"/>
                <w:sz w:val="20"/>
              </w:rPr>
              <w:t>
4) горизонтальное и вертикальное расстояние между порогами кабины и этажной площадки обеспечивает безопасный въезд в кабину и выезд из кабины пользователя на кресле-коляске;</w:t>
            </w:r>
          </w:p>
          <w:p>
            <w:pPr>
              <w:spacing w:after="20"/>
              <w:ind w:left="20"/>
              <w:jc w:val="both"/>
            </w:pPr>
            <w:r>
              <w:rPr>
                <w:rFonts w:ascii="Times New Roman"/>
                <w:b w:val="false"/>
                <w:i w:val="false"/>
                <w:color w:val="000000"/>
                <w:sz w:val="20"/>
              </w:rPr>
              <w:t>
конструкция и размещение устройств управления и сигнализации (звуковой и световой) в кабине лифта и на этажной площадке обеспечивает безопасность и доступность лифта для лиц с инвалидностью и маломобильных групп населения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на лифте, обеспечивающем транспортирование пожарных во время пожара, выполняется нижеследующее:</w:t>
            </w:r>
          </w:p>
          <w:p>
            <w:pPr>
              <w:spacing w:after="20"/>
              <w:ind w:left="20"/>
              <w:jc w:val="both"/>
            </w:pPr>
            <w:r>
              <w:rPr>
                <w:rFonts w:ascii="Times New Roman"/>
                <w:b w:val="false"/>
                <w:i w:val="false"/>
                <w:color w:val="000000"/>
                <w:sz w:val="20"/>
              </w:rPr>
              <w:t>
1) размеры кабины и грузоподъемность лифта обеспечивает транспортирование пожарных с оборудованием для борьбы с пожаром и (или) спасаемых при пожаре людей;</w:t>
            </w:r>
          </w:p>
          <w:p>
            <w:pPr>
              <w:spacing w:after="20"/>
              <w:ind w:left="20"/>
              <w:jc w:val="both"/>
            </w:pPr>
            <w:r>
              <w:rPr>
                <w:rFonts w:ascii="Times New Roman"/>
                <w:b w:val="false"/>
                <w:i w:val="false"/>
                <w:color w:val="000000"/>
                <w:sz w:val="20"/>
              </w:rPr>
              <w:t>
2) системы управления и сигнализация обеспечивает работу лифта под непосредственным управлением пожарных. Иные режимы управления лифтом отключаются;</w:t>
            </w:r>
          </w:p>
          <w:p>
            <w:pPr>
              <w:spacing w:after="20"/>
              <w:ind w:left="20"/>
              <w:jc w:val="both"/>
            </w:pPr>
            <w:r>
              <w:rPr>
                <w:rFonts w:ascii="Times New Roman"/>
                <w:b w:val="false"/>
                <w:i w:val="false"/>
                <w:color w:val="000000"/>
                <w:sz w:val="20"/>
              </w:rPr>
              <w:t>
3) наличие режима управления лифтом, независимо от работы лифтов, объединенных с ним системой группового управления;</w:t>
            </w:r>
          </w:p>
          <w:p>
            <w:pPr>
              <w:spacing w:after="20"/>
              <w:ind w:left="20"/>
              <w:jc w:val="both"/>
            </w:pPr>
            <w:r>
              <w:rPr>
                <w:rFonts w:ascii="Times New Roman"/>
                <w:b w:val="false"/>
                <w:i w:val="false"/>
                <w:color w:val="000000"/>
                <w:sz w:val="20"/>
              </w:rPr>
              <w:t>
4) наличие визуальной информации в кабине лифта и на основном посадочном (назначенном) этаже о местоположении кабины и направлении ее движения;</w:t>
            </w:r>
          </w:p>
          <w:p>
            <w:pPr>
              <w:spacing w:after="20"/>
              <w:ind w:left="20"/>
              <w:jc w:val="both"/>
            </w:pPr>
            <w:r>
              <w:rPr>
                <w:rFonts w:ascii="Times New Roman"/>
                <w:b w:val="false"/>
                <w:i w:val="false"/>
                <w:color w:val="000000"/>
                <w:sz w:val="20"/>
              </w:rPr>
              <w:t>
5) двери шахты лифта противопожарные, предел огнестойкости которых устанавливается в соответствии с требованиями к пожарной безопасности зданий (сооружений);</w:t>
            </w:r>
          </w:p>
          <w:p>
            <w:pPr>
              <w:spacing w:after="20"/>
              <w:ind w:left="20"/>
              <w:jc w:val="both"/>
            </w:pPr>
            <w:r>
              <w:rPr>
                <w:rFonts w:ascii="Times New Roman"/>
                <w:b w:val="false"/>
                <w:i w:val="false"/>
                <w:color w:val="000000"/>
                <w:sz w:val="20"/>
              </w:rPr>
              <w:t>
6) наличие мер и (или) средства по эвакуации пожарных из кабины, остановившейся между этажами;</w:t>
            </w:r>
          </w:p>
          <w:p>
            <w:pPr>
              <w:spacing w:after="20"/>
              <w:ind w:left="20"/>
              <w:jc w:val="both"/>
            </w:pPr>
            <w:r>
              <w:rPr>
                <w:rFonts w:ascii="Times New Roman"/>
                <w:b w:val="false"/>
                <w:i w:val="false"/>
                <w:color w:val="000000"/>
                <w:sz w:val="20"/>
              </w:rPr>
              <w:t>
5) использование в конструкции купе кабины материалов, снижающих риск возникновения пожарной опасности по применимым показателям горючести, воспламеняемости, дымообразующей способности, распространения пламени и токсичности при горении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подключения к устройству диспетчерского контроля, выполняется нижеследующее:</w:t>
            </w:r>
          </w:p>
          <w:p>
            <w:pPr>
              <w:spacing w:after="20"/>
              <w:ind w:left="20"/>
              <w:jc w:val="both"/>
            </w:pPr>
            <w:r>
              <w:rPr>
                <w:rFonts w:ascii="Times New Roman"/>
                <w:b w:val="false"/>
                <w:i w:val="false"/>
                <w:color w:val="000000"/>
                <w:sz w:val="20"/>
              </w:rPr>
              <w:t>
1) предусматриваться возможность, для снятия сигналов с целью передачи от лифта к устройству диспетчерского контроля за его работой, следующей информации:</w:t>
            </w:r>
          </w:p>
          <w:p>
            <w:pPr>
              <w:spacing w:after="20"/>
              <w:ind w:left="20"/>
              <w:jc w:val="both"/>
            </w:pPr>
            <w:r>
              <w:rPr>
                <w:rFonts w:ascii="Times New Roman"/>
                <w:b w:val="false"/>
                <w:i w:val="false"/>
                <w:color w:val="000000"/>
                <w:sz w:val="20"/>
              </w:rPr>
              <w:t>
о срабатывании электрических цепей безопасности;</w:t>
            </w:r>
          </w:p>
          <w:p>
            <w:pPr>
              <w:spacing w:after="20"/>
              <w:ind w:left="20"/>
              <w:jc w:val="both"/>
            </w:pPr>
            <w:r>
              <w:rPr>
                <w:rFonts w:ascii="Times New Roman"/>
                <w:b w:val="false"/>
                <w:i w:val="false"/>
                <w:color w:val="000000"/>
                <w:sz w:val="20"/>
              </w:rPr>
              <w:t>
о несанкционированном открывании дверей шахты;</w:t>
            </w:r>
          </w:p>
          <w:p>
            <w:pPr>
              <w:spacing w:after="20"/>
              <w:ind w:left="20"/>
              <w:jc w:val="both"/>
            </w:pPr>
            <w:r>
              <w:rPr>
                <w:rFonts w:ascii="Times New Roman"/>
                <w:b w:val="false"/>
                <w:i w:val="false"/>
                <w:color w:val="000000"/>
                <w:sz w:val="20"/>
              </w:rPr>
              <w:t>
7) об открытии двери (крышки) устройства управления лифта без машинного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для обеспечения безопасности лифта, предназначенного для установки в здании, сооружении, в котором возможно преднамеренное повреждение лифтового оборудования, выполняется нижеследующее:</w:t>
            </w:r>
          </w:p>
          <w:p>
            <w:pPr>
              <w:spacing w:after="20"/>
              <w:ind w:left="20"/>
              <w:jc w:val="both"/>
            </w:pPr>
            <w:r>
              <w:rPr>
                <w:rFonts w:ascii="Times New Roman"/>
                <w:b w:val="false"/>
                <w:i w:val="false"/>
                <w:color w:val="000000"/>
                <w:sz w:val="20"/>
              </w:rPr>
              <w:t>
1) ограждающие конструкции купе кабины, а также отделка стен, потолка и пола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2) устройства управления, сигнализации, освещения в кабине и на этажных площадках имеют конструкцию и выполняются из материалов, снижающих риск их намеренного повреждения или поджигания;</w:t>
            </w:r>
          </w:p>
          <w:p>
            <w:pPr>
              <w:spacing w:after="20"/>
              <w:ind w:left="20"/>
              <w:jc w:val="both"/>
            </w:pPr>
            <w:r>
              <w:rPr>
                <w:rFonts w:ascii="Times New Roman"/>
                <w:b w:val="false"/>
                <w:i w:val="false"/>
                <w:color w:val="000000"/>
                <w:sz w:val="20"/>
              </w:rPr>
              <w:t>
3) предусматриваться сплошное ограждение шахты;</w:t>
            </w:r>
          </w:p>
          <w:p>
            <w:pPr>
              <w:spacing w:after="20"/>
              <w:ind w:left="20"/>
              <w:jc w:val="both"/>
            </w:pPr>
            <w:r>
              <w:rPr>
                <w:rFonts w:ascii="Times New Roman"/>
                <w:b w:val="false"/>
                <w:i w:val="false"/>
                <w:color w:val="000000"/>
                <w:sz w:val="20"/>
              </w:rPr>
              <w:t>
наличие средств, выводящих лифт из режима "Нормальная работа" при несанкционированном открытии дверей шахты при отсутствии кабины на этаже в режиме "Нормальная работа". Возврат в режим "Нормальная работа" осуществляется обслуживающим персоналом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работы во взрывоопасных средах требованиям, необходимым для безопасного функционирования и эксплуатации в отношении следующего риска взрыва:</w:t>
            </w:r>
          </w:p>
          <w:p>
            <w:pPr>
              <w:spacing w:after="20"/>
              <w:ind w:left="20"/>
              <w:jc w:val="both"/>
            </w:pPr>
            <w:r>
              <w:rPr>
                <w:rFonts w:ascii="Times New Roman"/>
                <w:b w:val="false"/>
                <w:i w:val="false"/>
                <w:color w:val="000000"/>
                <w:sz w:val="20"/>
              </w:rPr>
              <w:t>
1) по предупреждению образования взрывоопасной среды, которая может создаваться за счет выделения оборудованием горючих веществ;</w:t>
            </w:r>
          </w:p>
          <w:p>
            <w:pPr>
              <w:spacing w:after="20"/>
              <w:ind w:left="20"/>
              <w:jc w:val="both"/>
            </w:pPr>
            <w:r>
              <w:rPr>
                <w:rFonts w:ascii="Times New Roman"/>
                <w:b w:val="false"/>
                <w:i w:val="false"/>
                <w:color w:val="000000"/>
                <w:sz w:val="20"/>
              </w:rPr>
              <w:t>
2) по предупреждению воспламенения взрывоопасной среды с учетом характера каждого источника инициирования взрыва;</w:t>
            </w:r>
          </w:p>
          <w:p>
            <w:pPr>
              <w:spacing w:after="20"/>
              <w:ind w:left="20"/>
              <w:jc w:val="both"/>
            </w:pPr>
            <w:r>
              <w:rPr>
                <w:rFonts w:ascii="Times New Roman"/>
                <w:b w:val="false"/>
                <w:i w:val="false"/>
                <w:color w:val="000000"/>
                <w:sz w:val="20"/>
              </w:rPr>
              <w:t>
4) в соответствии с областью применения оборудования, уровнями и видами взрывозащиты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нормального режима работы и в пределах отклонений, установленных технической документацией изготовителя, с учетом условий его применения в отношении взрывобезопасности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оборудованию для работы во взрывоопасных средах по разработке и изготовлению таким образом, чтобы при применении его по назначению и выполнении требований к монтажу, эксплуатации (использованию), перевозке (транспортированию), техническому обслуживанию и ремонту обеспечивалось выполнение нижеследующих требований безопасности:</w:t>
            </w:r>
          </w:p>
          <w:p>
            <w:pPr>
              <w:spacing w:after="20"/>
              <w:ind w:left="20"/>
              <w:jc w:val="both"/>
            </w:pPr>
            <w:r>
              <w:rPr>
                <w:rFonts w:ascii="Times New Roman"/>
                <w:b w:val="false"/>
                <w:i w:val="false"/>
                <w:color w:val="000000"/>
                <w:sz w:val="20"/>
              </w:rPr>
              <w:t>
1) оборудование обеспечивает взрывобезопасность при эксплуатации в течение всего предполагаемого (расчетного) срока службы;</w:t>
            </w:r>
          </w:p>
          <w:p>
            <w:pPr>
              <w:spacing w:after="20"/>
              <w:ind w:left="20"/>
              <w:jc w:val="both"/>
            </w:pPr>
            <w:r>
              <w:rPr>
                <w:rFonts w:ascii="Times New Roman"/>
                <w:b w:val="false"/>
                <w:i w:val="false"/>
                <w:color w:val="000000"/>
                <w:sz w:val="20"/>
              </w:rPr>
              <w:t>
2) оборудование функционирует в фактических или прогнозируемых условиях окружающей среды;</w:t>
            </w:r>
          </w:p>
          <w:p>
            <w:pPr>
              <w:spacing w:after="20"/>
              <w:ind w:left="20"/>
              <w:jc w:val="both"/>
            </w:pPr>
            <w:r>
              <w:rPr>
                <w:rFonts w:ascii="Times New Roman"/>
                <w:b w:val="false"/>
                <w:i w:val="false"/>
                <w:color w:val="000000"/>
                <w:sz w:val="20"/>
              </w:rPr>
              <w:t>
3) оборудование сохраняет взрывобезопасность в изменяющихся условиях окружающей среды и при наличии внешних воздействий (влажность, вибрация, загрязнения, грозовые и коммутационные перенапряжения) с учетом ограничений рабочих условий, установленных изготовителем.</w:t>
            </w:r>
          </w:p>
          <w:p>
            <w:pPr>
              <w:spacing w:after="20"/>
              <w:ind w:left="20"/>
              <w:jc w:val="both"/>
            </w:pPr>
            <w:r>
              <w:rPr>
                <w:rFonts w:ascii="Times New Roman"/>
                <w:b w:val="false"/>
                <w:i w:val="false"/>
                <w:color w:val="000000"/>
                <w:sz w:val="20"/>
              </w:rPr>
              <w:t>
Части оборудования рассчитываются на соответствующее механическое и тепловое воздействие и выдерживает воздействие существующих или предполагаемых агрессивных веществ;</w:t>
            </w:r>
          </w:p>
          <w:p>
            <w:pPr>
              <w:spacing w:after="20"/>
              <w:ind w:left="20"/>
              <w:jc w:val="both"/>
            </w:pPr>
            <w:r>
              <w:rPr>
                <w:rFonts w:ascii="Times New Roman"/>
                <w:b w:val="false"/>
                <w:i w:val="false"/>
                <w:color w:val="000000"/>
                <w:sz w:val="20"/>
              </w:rPr>
              <w:t>
4) если оборудование содержит части, которые бывают источниками воспламенения, оно открывается в выключенном состоянии, содержать только искробезопасные цепи, или иметь защиту от прикасания персонала и предупредительные надписи;</w:t>
            </w:r>
          </w:p>
          <w:p>
            <w:pPr>
              <w:spacing w:after="20"/>
              <w:ind w:left="20"/>
              <w:jc w:val="both"/>
            </w:pPr>
            <w:r>
              <w:rPr>
                <w:rFonts w:ascii="Times New Roman"/>
                <w:b w:val="false"/>
                <w:i w:val="false"/>
                <w:color w:val="000000"/>
                <w:sz w:val="20"/>
              </w:rPr>
              <w:t>
5) при наличии в оболочках накопителей электрического заряда (конденсаторов) и нагретых элементов, которые бывают источниками воспламенения, оболочки открываются с выдержкой времени, достаточной для разрядки встроенных конденсаторов до значения безопасной остаточной энергии или для снижения температуры нагретых элементов ниже максимальной температуры поверхности либо температурного класса, указанных на оборудовании.</w:t>
            </w:r>
          </w:p>
          <w:p>
            <w:pPr>
              <w:spacing w:after="20"/>
              <w:ind w:left="20"/>
              <w:jc w:val="both"/>
            </w:pPr>
            <w:r>
              <w:rPr>
                <w:rFonts w:ascii="Times New Roman"/>
                <w:b w:val="false"/>
                <w:i w:val="false"/>
                <w:color w:val="000000"/>
                <w:sz w:val="20"/>
              </w:rPr>
              <w:t>
Если при взрывозащите оборудования путем продувки защитным газом после отключения электропитания предусмотрено продолжение продувки защитным газом до разрядки встроенных конденсаторов или снижения температуры нагретых элементов до указанных выше значений, изготовитель наносит на открывающиеся части оборудования предупредительную надпись;</w:t>
            </w:r>
          </w:p>
          <w:p>
            <w:pPr>
              <w:spacing w:after="20"/>
              <w:ind w:left="20"/>
              <w:jc w:val="both"/>
            </w:pPr>
            <w:r>
              <w:rPr>
                <w:rFonts w:ascii="Times New Roman"/>
                <w:b w:val="false"/>
                <w:i w:val="false"/>
                <w:color w:val="000000"/>
                <w:sz w:val="20"/>
              </w:rPr>
              <w:t>
6) температура поверхности оборудования с уровнем взрывозащиты "особовзрывобезопасный" ("очень высокий") и "взрывобезопасный" ("высокий") и (или) его частей ниже температуры самовоспламенения окружающей взрывоопасной газовой среды и температуры самовоспламенения слоя пыли при эксплуатации (в пределах отклонений, установленных в технической документации изготовителя) в указанных аварийных режимах и при изменении условий окружающей среды.</w:t>
            </w:r>
          </w:p>
          <w:p>
            <w:pPr>
              <w:spacing w:after="20"/>
              <w:ind w:left="20"/>
              <w:jc w:val="both"/>
            </w:pPr>
            <w:r>
              <w:rPr>
                <w:rFonts w:ascii="Times New Roman"/>
                <w:b w:val="false"/>
                <w:i w:val="false"/>
                <w:color w:val="000000"/>
                <w:sz w:val="20"/>
              </w:rPr>
              <w:t>
Температура выше температуры самовоспламенения окружающей взрывоопасной среды при эксплуатации (в пределах отклонений, установленных в технической документации изготовителя) допускается только когда изготовитель принимает дополнительные меры по защите указанного оборудования.</w:t>
            </w:r>
          </w:p>
          <w:p>
            <w:pPr>
              <w:spacing w:after="20"/>
              <w:ind w:left="20"/>
              <w:jc w:val="both"/>
            </w:pPr>
            <w:r>
              <w:rPr>
                <w:rFonts w:ascii="Times New Roman"/>
                <w:b w:val="false"/>
                <w:i w:val="false"/>
                <w:color w:val="000000"/>
                <w:sz w:val="20"/>
              </w:rPr>
              <w:t>
7) температура поверхности оборудования с уровнем взрывозащиты "повышенная надежность против взрыва" ("повышенный") не выше максимальной температуры поверхности в нормальном режиме эксплуатации.</w:t>
            </w:r>
          </w:p>
          <w:p>
            <w:pPr>
              <w:spacing w:after="20"/>
              <w:ind w:left="20"/>
              <w:jc w:val="both"/>
            </w:pPr>
            <w:r>
              <w:rPr>
                <w:rFonts w:ascii="Times New Roman"/>
                <w:b w:val="false"/>
                <w:i w:val="false"/>
                <w:color w:val="000000"/>
                <w:sz w:val="20"/>
              </w:rPr>
              <w:t>
Конструкция такого оборудования не имеет частей, способных к искрообразованию, воспламеняющему окружающую взрывоопасную среду;</w:t>
            </w:r>
          </w:p>
          <w:p>
            <w:pPr>
              <w:spacing w:after="20"/>
              <w:ind w:left="20"/>
              <w:jc w:val="both"/>
            </w:pPr>
            <w:r>
              <w:rPr>
                <w:rFonts w:ascii="Times New Roman"/>
                <w:b w:val="false"/>
                <w:i w:val="false"/>
                <w:color w:val="000000"/>
                <w:sz w:val="20"/>
              </w:rPr>
              <w:t>
8) оборудование группы I пылезащищенное и предотвращает опасность воспламенения угольной пыли;</w:t>
            </w:r>
          </w:p>
          <w:p>
            <w:pPr>
              <w:spacing w:after="20"/>
              <w:ind w:left="20"/>
              <w:jc w:val="both"/>
            </w:pPr>
            <w:r>
              <w:rPr>
                <w:rFonts w:ascii="Times New Roman"/>
                <w:b w:val="false"/>
                <w:i w:val="false"/>
                <w:color w:val="000000"/>
                <w:sz w:val="20"/>
              </w:rPr>
              <w:t>
9) в оборудовании группы III, включая кабельные вводы и соединения, пыль (с учетом размера ее частиц) без образования взрывоопасных смесей с воздухом или опасных скоплений внутри оборудования;</w:t>
            </w:r>
          </w:p>
          <w:p>
            <w:pPr>
              <w:spacing w:after="20"/>
              <w:ind w:left="20"/>
              <w:jc w:val="both"/>
            </w:pPr>
            <w:r>
              <w:rPr>
                <w:rFonts w:ascii="Times New Roman"/>
                <w:b w:val="false"/>
                <w:i w:val="false"/>
                <w:color w:val="000000"/>
                <w:sz w:val="20"/>
              </w:rPr>
              <w:t>
10) оборудование, которое может выделять горючие газы или пыль, имеет закрытые конструкции. Имеющиеся в оборудовании отверстия или негерметичные соединения спроектированы так, чтобы образующиеся газы или пыль не привели к возникновению взрывоопасной среды с внешней стороны оборудования. Отверстия, через которые материалы вводятся или выводятся, проектируются и оборудуются так, чтобы ограничить выход горючих материалов во время заполнения или слива;</w:t>
            </w:r>
          </w:p>
          <w:p>
            <w:pPr>
              <w:spacing w:after="20"/>
              <w:ind w:left="20"/>
              <w:jc w:val="both"/>
            </w:pPr>
            <w:r>
              <w:rPr>
                <w:rFonts w:ascii="Times New Roman"/>
                <w:b w:val="false"/>
                <w:i w:val="false"/>
                <w:color w:val="000000"/>
                <w:sz w:val="20"/>
              </w:rPr>
              <w:t>
11) оборудование, предназначенное для применения на объектах и (или) их участках с присутствием пыли, проектируется так, чтобы пыль, осевшая на его поверхности, не воспламенялась. Отложения пыли ограничивается путем очистки поверхностей, периодичность которой указывается в руководстве (инструкции) по эксплуатации (применению). Температура поверхности частей оборудования ниже температуры самовоспламенения слоя пыли. При этом предусматриваются средства ограничения температуры поверхности частей оборудования с целью предупреждения опасного тепловыделения в зависимости от толщины слоя осевшей пыли;</w:t>
            </w:r>
          </w:p>
          <w:p>
            <w:pPr>
              <w:spacing w:after="20"/>
              <w:ind w:left="20"/>
              <w:jc w:val="both"/>
            </w:pPr>
            <w:r>
              <w:rPr>
                <w:rFonts w:ascii="Times New Roman"/>
                <w:b w:val="false"/>
                <w:i w:val="false"/>
                <w:color w:val="000000"/>
                <w:sz w:val="20"/>
              </w:rPr>
              <w:t>
12) предусмотрено безопасное ручное отключение оборудования, включенного в автоматические процессы, при нарушении установленных режимов его работы, предусмотренных в технической документации изготовителя, если это не скажется отрицательно на безопасности;</w:t>
            </w:r>
          </w:p>
          <w:p>
            <w:pPr>
              <w:spacing w:after="20"/>
              <w:ind w:left="20"/>
              <w:jc w:val="both"/>
            </w:pPr>
            <w:r>
              <w:rPr>
                <w:rFonts w:ascii="Times New Roman"/>
                <w:b w:val="false"/>
                <w:i w:val="false"/>
                <w:color w:val="000000"/>
                <w:sz w:val="20"/>
              </w:rPr>
              <w:t>
13) при аварийном отключении оборудования аккумулированная энергия рассеиваться до безопасного значения за время, указанное на предупредительных табличках, размещенных на открываемых крышках;</w:t>
            </w:r>
          </w:p>
          <w:p>
            <w:pPr>
              <w:spacing w:after="20"/>
              <w:ind w:left="20"/>
              <w:jc w:val="both"/>
            </w:pPr>
            <w:r>
              <w:rPr>
                <w:rFonts w:ascii="Times New Roman"/>
                <w:b w:val="false"/>
                <w:i w:val="false"/>
                <w:color w:val="000000"/>
                <w:sz w:val="20"/>
              </w:rPr>
              <w:t>
14) оборудование оснащаться соответствующими вводными устройствами, причем, если оборудование предполагается использовать в сочетании с другим оборудованием, их соединение безопасным;</w:t>
            </w:r>
          </w:p>
          <w:p>
            <w:pPr>
              <w:spacing w:after="20"/>
              <w:ind w:left="20"/>
              <w:jc w:val="both"/>
            </w:pPr>
            <w:r>
              <w:rPr>
                <w:rFonts w:ascii="Times New Roman"/>
                <w:b w:val="false"/>
                <w:i w:val="false"/>
                <w:color w:val="000000"/>
                <w:sz w:val="20"/>
              </w:rPr>
              <w:t>
15) если оборудование имеет устройства обнаружения или предупредительной сигнализации для контроля взрывоопасной среды, места и условия их размещения предусматриваться в технической документации изготовителя;</w:t>
            </w:r>
          </w:p>
          <w:p>
            <w:pPr>
              <w:spacing w:after="20"/>
              <w:ind w:left="20"/>
              <w:jc w:val="both"/>
            </w:pPr>
            <w:r>
              <w:rPr>
                <w:rFonts w:ascii="Times New Roman"/>
                <w:b w:val="false"/>
                <w:i w:val="false"/>
                <w:color w:val="000000"/>
                <w:sz w:val="20"/>
              </w:rPr>
              <w:t>
16) оборудование не содержать материалы, способные выделять горючие вещества, создающие взрывоопасную среду;</w:t>
            </w:r>
          </w:p>
          <w:p>
            <w:pPr>
              <w:spacing w:after="20"/>
              <w:ind w:left="20"/>
              <w:jc w:val="both"/>
            </w:pPr>
            <w:r>
              <w:rPr>
                <w:rFonts w:ascii="Times New Roman"/>
                <w:b w:val="false"/>
                <w:i w:val="false"/>
                <w:color w:val="000000"/>
                <w:sz w:val="20"/>
              </w:rPr>
              <w:t>
17) в пределах рабочих условий, установленных в технической документации изготовителя, исключить возможность химической реакции между используемыми материалами и веществами, составляющими потенциально взрывоопасную среду, которая может отрицательно повлиять на взрывозащиту;</w:t>
            </w:r>
          </w:p>
          <w:p>
            <w:pPr>
              <w:spacing w:after="20"/>
              <w:ind w:left="20"/>
              <w:jc w:val="both"/>
            </w:pPr>
            <w:r>
              <w:rPr>
                <w:rFonts w:ascii="Times New Roman"/>
                <w:b w:val="false"/>
                <w:i w:val="false"/>
                <w:color w:val="000000"/>
                <w:sz w:val="20"/>
              </w:rPr>
              <w:t>
18) оборудование не содержать материалы, которые при изменении своих характеристик под влиянием температуры окружающей среды и условий эксплуатации, а также в сочетании с другими материалами снижают уровень взрывозащиты оборудования;</w:t>
            </w:r>
          </w:p>
          <w:p>
            <w:pPr>
              <w:spacing w:after="20"/>
              <w:ind w:left="20"/>
              <w:jc w:val="both"/>
            </w:pPr>
            <w:r>
              <w:rPr>
                <w:rFonts w:ascii="Times New Roman"/>
                <w:b w:val="false"/>
                <w:i w:val="false"/>
                <w:color w:val="000000"/>
                <w:sz w:val="20"/>
              </w:rPr>
              <w:t>
19) Ex-компоненты, устанавливаемые в оборудовании или используемые для замены деталей оборудования и систем защиты, безопасно функционировать в соответствии с требованиями обеспечения взрывобезопасности при их установке в соответствии с руководствами (инструкциями) по эксплуатации (применению) изготовителя;</w:t>
            </w:r>
          </w:p>
          <w:p>
            <w:pPr>
              <w:spacing w:after="20"/>
              <w:ind w:left="20"/>
              <w:jc w:val="both"/>
            </w:pPr>
            <w:r>
              <w:rPr>
                <w:rFonts w:ascii="Times New Roman"/>
                <w:b w:val="false"/>
                <w:i w:val="false"/>
                <w:color w:val="000000"/>
                <w:sz w:val="20"/>
              </w:rPr>
              <w:t>
20) оборудование, которое может подвергаться внешним воздействиям, обеспечиваться дополнительными средствами защиты. Оборудование выдерживать внешние воздействия без нарушения его взрывозащиты;</w:t>
            </w:r>
          </w:p>
          <w:p>
            <w:pPr>
              <w:spacing w:after="20"/>
              <w:ind w:left="20"/>
              <w:jc w:val="both"/>
            </w:pPr>
            <w:r>
              <w:rPr>
                <w:rFonts w:ascii="Times New Roman"/>
                <w:b w:val="false"/>
                <w:i w:val="false"/>
                <w:color w:val="000000"/>
                <w:sz w:val="20"/>
              </w:rPr>
              <w:t>
21) если оборудование находится в корпусе или закрытом контейнере, которые являются частью вида взрывозащиты, такой корпус или контейнер открываться только с помощью специального инструмента или с применением соответствующих мер защиты;</w:t>
            </w:r>
          </w:p>
          <w:p>
            <w:pPr>
              <w:spacing w:after="20"/>
              <w:ind w:left="20"/>
              <w:jc w:val="both"/>
            </w:pPr>
            <w:r>
              <w:rPr>
                <w:rFonts w:ascii="Times New Roman"/>
                <w:b w:val="false"/>
                <w:i w:val="false"/>
                <w:color w:val="000000"/>
                <w:sz w:val="20"/>
              </w:rPr>
              <w:t>
22) для предотвращения опасной перегрузки оборудования, предусмотрено использование измерительных, регулирующих и контрольных устройств (максимальных выключателей, ограничителей температуры, дифференциальных реле давления, расходомеров, реле с выдержкой времени, индикаторов превышения скорости и (или) аналогичных типов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оборудования для работы во взрывоопасных средах обеспечению защиты от следующих потенциальных источников воспламенения:</w:t>
            </w:r>
          </w:p>
          <w:p>
            <w:pPr>
              <w:spacing w:after="20"/>
              <w:ind w:left="20"/>
              <w:jc w:val="both"/>
            </w:pPr>
            <w:r>
              <w:rPr>
                <w:rFonts w:ascii="Times New Roman"/>
                <w:b w:val="false"/>
                <w:i w:val="false"/>
                <w:color w:val="000000"/>
                <w:sz w:val="20"/>
              </w:rPr>
              <w:t>
1) искры (электрические и фрикционные), пламя, высокие температуры нагретых поверхностей, электромагнитные, ультразвуковые, оптические и ионизирующие излучения;</w:t>
            </w:r>
          </w:p>
          <w:p>
            <w:pPr>
              <w:spacing w:after="20"/>
              <w:ind w:left="20"/>
              <w:jc w:val="both"/>
            </w:pPr>
            <w:r>
              <w:rPr>
                <w:rFonts w:ascii="Times New Roman"/>
                <w:b w:val="false"/>
                <w:i w:val="false"/>
                <w:color w:val="000000"/>
                <w:sz w:val="20"/>
              </w:rPr>
              <w:t>
2) статическое электричество (электростатические заряды, способные вызвать опасные разряды);</w:t>
            </w:r>
          </w:p>
          <w:p>
            <w:pPr>
              <w:spacing w:after="20"/>
              <w:ind w:left="20"/>
              <w:jc w:val="both"/>
            </w:pPr>
            <w:r>
              <w:rPr>
                <w:rFonts w:ascii="Times New Roman"/>
                <w:b w:val="false"/>
                <w:i w:val="false"/>
                <w:color w:val="000000"/>
                <w:sz w:val="20"/>
              </w:rPr>
              <w:t>
3) блуждающие токи и токи утечки, которые приводят к появлению опасной коррозии, искр и перегреву поверхностей и создают, таким образом, возможность воспламенения;</w:t>
            </w:r>
          </w:p>
          <w:p>
            <w:pPr>
              <w:spacing w:after="20"/>
              <w:ind w:left="20"/>
              <w:jc w:val="both"/>
            </w:pPr>
            <w:r>
              <w:rPr>
                <w:rFonts w:ascii="Times New Roman"/>
                <w:b w:val="false"/>
                <w:i w:val="false"/>
                <w:color w:val="000000"/>
                <w:sz w:val="20"/>
              </w:rPr>
              <w:t>
4) перегрев в результате трения и ударов, который возникает между материалами и частями, соприкасающимися друг с другом при вращении и проникновении посторонних предметов;</w:t>
            </w:r>
          </w:p>
          <w:p>
            <w:pPr>
              <w:spacing w:after="20"/>
              <w:ind w:left="20"/>
              <w:jc w:val="both"/>
            </w:pPr>
            <w:r>
              <w:rPr>
                <w:rFonts w:ascii="Times New Roman"/>
                <w:b w:val="false"/>
                <w:i w:val="false"/>
                <w:color w:val="000000"/>
                <w:sz w:val="20"/>
              </w:rPr>
              <w:t>
5) компенсация давления, которая осуществляется регулирующими устройствами влекущие ударные волны и сжатия, приводящие к воспламенению;</w:t>
            </w:r>
          </w:p>
          <w:p>
            <w:pPr>
              <w:spacing w:after="20"/>
              <w:ind w:left="20"/>
              <w:jc w:val="both"/>
            </w:pPr>
            <w:r>
              <w:rPr>
                <w:rFonts w:ascii="Times New Roman"/>
                <w:b w:val="false"/>
                <w:i w:val="false"/>
                <w:color w:val="000000"/>
                <w:sz w:val="20"/>
              </w:rPr>
              <w:t>
6) удары молнии;</w:t>
            </w:r>
          </w:p>
          <w:p>
            <w:pPr>
              <w:spacing w:after="20"/>
              <w:ind w:left="20"/>
              <w:jc w:val="both"/>
            </w:pPr>
            <w:r>
              <w:rPr>
                <w:rFonts w:ascii="Times New Roman"/>
                <w:b w:val="false"/>
                <w:i w:val="false"/>
                <w:color w:val="000000"/>
                <w:sz w:val="20"/>
              </w:rPr>
              <w:t>
7) экзотермические реакции, включая самовоспламенение пыли.</w:t>
            </w:r>
          </w:p>
          <w:p>
            <w:pPr>
              <w:spacing w:after="20"/>
              <w:ind w:left="20"/>
              <w:jc w:val="both"/>
            </w:pPr>
            <w:r>
              <w:rPr>
                <w:rFonts w:ascii="Times New Roman"/>
                <w:b w:val="false"/>
                <w:i w:val="false"/>
                <w:color w:val="000000"/>
                <w:sz w:val="20"/>
              </w:rPr>
              <w:t>
При этом принимаются во внимание все факторы опасности возникновения взрыва и выявлены источники инициирования воспламенения взрывоопасных сред. С учетом проведенной оценки факторов опасности, выбраны способы обеспечения взрывозащиты (виды взрывозащиты) оборудования для его применения во взрывоопасных средах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обеспечивающих защиту оборудования для работы во взрывоопасных средах при аварийных режимах, нижеследующему:</w:t>
            </w:r>
          </w:p>
          <w:p>
            <w:pPr>
              <w:spacing w:after="20"/>
              <w:ind w:left="20"/>
              <w:jc w:val="both"/>
            </w:pPr>
            <w:r>
              <w:rPr>
                <w:rFonts w:ascii="Times New Roman"/>
                <w:b w:val="false"/>
                <w:i w:val="false"/>
                <w:color w:val="000000"/>
                <w:sz w:val="20"/>
              </w:rPr>
              <w:t>
1) защитные устройства функционировать независимо от любого необходимого для работы измерительного или контрольного устройства. Отказ защитного устройства обнаруживаться с помощью технических средств, предусмотренных технической документацией;</w:t>
            </w:r>
          </w:p>
          <w:p>
            <w:pPr>
              <w:spacing w:after="20"/>
              <w:ind w:left="20"/>
              <w:jc w:val="both"/>
            </w:pPr>
            <w:r>
              <w:rPr>
                <w:rFonts w:ascii="Times New Roman"/>
                <w:b w:val="false"/>
                <w:i w:val="false"/>
                <w:color w:val="000000"/>
                <w:sz w:val="20"/>
              </w:rPr>
              <w:t>
2) аварийное выключение непосредственно приводить в действие соответствующие устройства управления без промежуточной команды программного обеспечения;</w:t>
            </w:r>
          </w:p>
          <w:p>
            <w:pPr>
              <w:spacing w:after="20"/>
              <w:ind w:left="20"/>
              <w:jc w:val="both"/>
            </w:pPr>
            <w:r>
              <w:rPr>
                <w:rFonts w:ascii="Times New Roman"/>
                <w:b w:val="false"/>
                <w:i w:val="false"/>
                <w:color w:val="000000"/>
                <w:sz w:val="20"/>
              </w:rPr>
              <w:t>
3) аварийные средства управления защитных устройств оборудоваться механизмами, устройствами блокировки повторного запуска. Новая команда запуска может выполняться и нормальная работа возобновляться только после специального сброса блокировок повторного запуска;</w:t>
            </w:r>
          </w:p>
          <w:p>
            <w:pPr>
              <w:spacing w:after="20"/>
              <w:ind w:left="20"/>
              <w:jc w:val="both"/>
            </w:pPr>
            <w:r>
              <w:rPr>
                <w:rFonts w:ascii="Times New Roman"/>
                <w:b w:val="false"/>
                <w:i w:val="false"/>
                <w:color w:val="000000"/>
                <w:sz w:val="20"/>
              </w:rPr>
              <w:t>
4) применяемые устройства управления и индикаторы проектироваться с целью обеспечения максимально возможного уровня эксплуатационной безопасности в отношении риска взрыва;</w:t>
            </w:r>
          </w:p>
          <w:p>
            <w:pPr>
              <w:spacing w:after="20"/>
              <w:ind w:left="20"/>
              <w:jc w:val="both"/>
            </w:pPr>
            <w:r>
              <w:rPr>
                <w:rFonts w:ascii="Times New Roman"/>
                <w:b w:val="false"/>
                <w:i w:val="false"/>
                <w:color w:val="000000"/>
                <w:sz w:val="20"/>
              </w:rPr>
              <w:t>
5) устройства с измерительной функцией проектироваться и изготавливаться с учетом эксплуатационных требований и условий их применения во взрывоопасной среде и удовлетворять требованиям по обеспечению единства измерений;</w:t>
            </w:r>
          </w:p>
          <w:p>
            <w:pPr>
              <w:spacing w:after="20"/>
              <w:ind w:left="20"/>
              <w:jc w:val="both"/>
            </w:pPr>
            <w:r>
              <w:rPr>
                <w:rFonts w:ascii="Times New Roman"/>
                <w:b w:val="false"/>
                <w:i w:val="false"/>
                <w:color w:val="000000"/>
                <w:sz w:val="20"/>
              </w:rPr>
              <w:t>
6) обеспечиваться возможность проверки точности показаний и функционирования устройств с измерительной функцией;</w:t>
            </w:r>
          </w:p>
          <w:p>
            <w:pPr>
              <w:spacing w:after="20"/>
              <w:ind w:left="20"/>
              <w:jc w:val="both"/>
            </w:pPr>
            <w:r>
              <w:rPr>
                <w:rFonts w:ascii="Times New Roman"/>
                <w:b w:val="false"/>
                <w:i w:val="false"/>
                <w:color w:val="000000"/>
                <w:sz w:val="20"/>
              </w:rPr>
              <w:t>
7) аварийный порог потенциального источника воспламенения устройств с измерительной функцией находиться ниже предельных условий возникновения взрыва и воспламенения регистрируемых взрывоопасных сред, с учетом установленного в технической документации коэффициента безопасности, рабочих условий и погрешностей измерительной системы;</w:t>
            </w:r>
          </w:p>
          <w:p>
            <w:pPr>
              <w:spacing w:after="20"/>
              <w:ind w:left="20"/>
              <w:jc w:val="both"/>
            </w:pPr>
            <w:r>
              <w:rPr>
                <w:rFonts w:ascii="Times New Roman"/>
                <w:b w:val="false"/>
                <w:i w:val="false"/>
                <w:color w:val="000000"/>
                <w:sz w:val="20"/>
              </w:rPr>
              <w:t>
8) программное обеспечение управляемого им оборудования учитывать риски, связанные с ошибками в программе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технической документации изготовителя оборудования для работы во взрывоопасных средах, включающее:</w:t>
            </w:r>
          </w:p>
          <w:p>
            <w:pPr>
              <w:spacing w:after="20"/>
              <w:ind w:left="20"/>
              <w:jc w:val="both"/>
            </w:pPr>
            <w:r>
              <w:rPr>
                <w:rFonts w:ascii="Times New Roman"/>
                <w:b w:val="false"/>
                <w:i w:val="false"/>
                <w:color w:val="000000"/>
                <w:sz w:val="20"/>
              </w:rPr>
              <w:t>
1) наименование и (или) обозначение оборудования (тип, марка, модель), его параметры и характеристики, влияющие на безопасность, наименование и (или) товарный знак изготовителя;</w:t>
            </w:r>
          </w:p>
          <w:p>
            <w:pPr>
              <w:spacing w:after="20"/>
              <w:ind w:left="20"/>
              <w:jc w:val="both"/>
            </w:pPr>
            <w:r>
              <w:rPr>
                <w:rFonts w:ascii="Times New Roman"/>
                <w:b w:val="false"/>
                <w:i w:val="false"/>
                <w:color w:val="000000"/>
                <w:sz w:val="20"/>
              </w:rPr>
              <w:t>
2) информацию о его назначении;</w:t>
            </w:r>
          </w:p>
          <w:p>
            <w:pPr>
              <w:spacing w:after="20"/>
              <w:ind w:left="20"/>
              <w:jc w:val="both"/>
            </w:pPr>
            <w:r>
              <w:rPr>
                <w:rFonts w:ascii="Times New Roman"/>
                <w:b w:val="false"/>
                <w:i w:val="false"/>
                <w:color w:val="000000"/>
                <w:sz w:val="20"/>
              </w:rPr>
              <w:t>
3) указания по монтажу, сборке, наладке или регулировке;</w:t>
            </w:r>
          </w:p>
          <w:p>
            <w:pPr>
              <w:spacing w:after="20"/>
              <w:ind w:left="20"/>
              <w:jc w:val="both"/>
            </w:pPr>
            <w:r>
              <w:rPr>
                <w:rFonts w:ascii="Times New Roman"/>
                <w:b w:val="false"/>
                <w:i w:val="false"/>
                <w:color w:val="000000"/>
                <w:sz w:val="20"/>
              </w:rPr>
              <w:t>
4) указания по использованию оборудования и мерам по обеспечению безопасности, которые необходимо соблюдать при эксплуатации (включая ввод в эксплуатацию, использование по прямому назначению, техническое обслуживание, все виды ремонта и технических освидетельствований, средства защиты, направленные на уменьшение интенсивности и локализацию вредных производственных факторов, транспортировку и условия хранения);</w:t>
            </w:r>
          </w:p>
          <w:p>
            <w:pPr>
              <w:spacing w:after="20"/>
              <w:ind w:left="20"/>
              <w:jc w:val="both"/>
            </w:pPr>
            <w:r>
              <w:rPr>
                <w:rFonts w:ascii="Times New Roman"/>
                <w:b w:val="false"/>
                <w:i w:val="false"/>
                <w:color w:val="000000"/>
                <w:sz w:val="20"/>
              </w:rPr>
              <w:t>
5) назначенные показатели срока службы и (или) назначенный ресурс;</w:t>
            </w:r>
          </w:p>
          <w:p>
            <w:pPr>
              <w:spacing w:after="20"/>
              <w:ind w:left="20"/>
              <w:jc w:val="both"/>
            </w:pPr>
            <w:r>
              <w:rPr>
                <w:rFonts w:ascii="Times New Roman"/>
                <w:b w:val="false"/>
                <w:i w:val="false"/>
                <w:color w:val="000000"/>
                <w:sz w:val="20"/>
              </w:rPr>
              <w:t>
6) перечень критических отказов, возможных ошибок персонала (пользователя), приводящих к аварийным режимам оборудования, и действий, предотвращающих указанные ошибки;</w:t>
            </w:r>
          </w:p>
          <w:p>
            <w:pPr>
              <w:spacing w:after="20"/>
              <w:ind w:left="20"/>
              <w:jc w:val="both"/>
            </w:pPr>
            <w:r>
              <w:rPr>
                <w:rFonts w:ascii="Times New Roman"/>
                <w:b w:val="false"/>
                <w:i w:val="false"/>
                <w:color w:val="000000"/>
                <w:sz w:val="20"/>
              </w:rPr>
              <w:t>
7) параметры предельных состояний;</w:t>
            </w:r>
          </w:p>
          <w:p>
            <w:pPr>
              <w:spacing w:after="20"/>
              <w:ind w:left="20"/>
              <w:jc w:val="both"/>
            </w:pPr>
            <w:r>
              <w:rPr>
                <w:rFonts w:ascii="Times New Roman"/>
                <w:b w:val="false"/>
                <w:i w:val="false"/>
                <w:color w:val="000000"/>
                <w:sz w:val="20"/>
              </w:rPr>
              <w:t>
8) информацию о мерах, которые следует предпринять при обнаружении неисправности этого оборудования;</w:t>
            </w:r>
          </w:p>
          <w:p>
            <w:pPr>
              <w:spacing w:after="20"/>
              <w:ind w:left="20"/>
              <w:jc w:val="both"/>
            </w:pPr>
            <w:r>
              <w:rPr>
                <w:rFonts w:ascii="Times New Roman"/>
                <w:b w:val="false"/>
                <w:i w:val="false"/>
                <w:color w:val="000000"/>
                <w:sz w:val="20"/>
              </w:rPr>
              <w:t>
9) информацию о необходимости доукомплектования дополнительными элементами (кабельными вводами);</w:t>
            </w:r>
          </w:p>
          <w:p>
            <w:pPr>
              <w:spacing w:after="20"/>
              <w:ind w:left="20"/>
              <w:jc w:val="both"/>
            </w:pPr>
            <w:r>
              <w:rPr>
                <w:rFonts w:ascii="Times New Roman"/>
                <w:b w:val="false"/>
                <w:i w:val="false"/>
                <w:color w:val="000000"/>
                <w:sz w:val="20"/>
              </w:rPr>
              <w:t>
10) требования к обеспечению сохранения технических характеристик оборудования, обуславливающих его взрывобезопасность;</w:t>
            </w:r>
          </w:p>
          <w:p>
            <w:pPr>
              <w:spacing w:after="20"/>
              <w:ind w:left="20"/>
              <w:jc w:val="both"/>
            </w:pPr>
            <w:r>
              <w:rPr>
                <w:rFonts w:ascii="Times New Roman"/>
                <w:b w:val="false"/>
                <w:i w:val="false"/>
                <w:color w:val="000000"/>
                <w:sz w:val="20"/>
              </w:rPr>
              <w:t>
11) требования к упаковке, консервации, условиям транспортирования и хранения, назначенные сроки хранения, указания по регламентным срокам переосвидетельствования состояния, замены отдельных элементов, деталей, узлов с истекшим сроком хранения;</w:t>
            </w:r>
          </w:p>
          <w:p>
            <w:pPr>
              <w:spacing w:after="20"/>
              <w:ind w:left="20"/>
              <w:jc w:val="both"/>
            </w:pPr>
            <w:r>
              <w:rPr>
                <w:rFonts w:ascii="Times New Roman"/>
                <w:b w:val="false"/>
                <w:i w:val="false"/>
                <w:color w:val="000000"/>
                <w:sz w:val="20"/>
              </w:rPr>
              <w:t>
12) требования к утилизации оборудования;</w:t>
            </w:r>
          </w:p>
          <w:p>
            <w:pPr>
              <w:spacing w:after="20"/>
              <w:ind w:left="20"/>
              <w:jc w:val="both"/>
            </w:pPr>
            <w:r>
              <w:rPr>
                <w:rFonts w:ascii="Times New Roman"/>
                <w:b w:val="false"/>
                <w:i w:val="false"/>
                <w:color w:val="000000"/>
                <w:sz w:val="20"/>
              </w:rPr>
              <w:t>
13) правила и условия хранения, перевозки и утилизации (при необходимости - установление требований к ним);</w:t>
            </w:r>
          </w:p>
          <w:p>
            <w:pPr>
              <w:spacing w:after="20"/>
              <w:ind w:left="20"/>
              <w:jc w:val="both"/>
            </w:pPr>
            <w:r>
              <w:rPr>
                <w:rFonts w:ascii="Times New Roman"/>
                <w:b w:val="false"/>
                <w:i w:val="false"/>
                <w:color w:val="000000"/>
                <w:sz w:val="20"/>
              </w:rPr>
              <w:t>
14) требования к персоналу;</w:t>
            </w:r>
          </w:p>
          <w:p>
            <w:pPr>
              <w:spacing w:after="20"/>
              <w:ind w:left="20"/>
              <w:jc w:val="both"/>
            </w:pPr>
            <w:r>
              <w:rPr>
                <w:rFonts w:ascii="Times New Roman"/>
                <w:b w:val="false"/>
                <w:i w:val="false"/>
                <w:color w:val="000000"/>
                <w:sz w:val="20"/>
              </w:rPr>
              <w:t>
15) местонахождение изготовителя, информацию для связи с ним;</w:t>
            </w:r>
          </w:p>
          <w:p>
            <w:pPr>
              <w:spacing w:after="20"/>
              <w:ind w:left="20"/>
              <w:jc w:val="both"/>
            </w:pPr>
            <w:r>
              <w:rPr>
                <w:rFonts w:ascii="Times New Roman"/>
                <w:b w:val="false"/>
                <w:i w:val="false"/>
                <w:color w:val="000000"/>
                <w:sz w:val="20"/>
              </w:rPr>
              <w:t>
16) наименование и местонахождение уполномоченного изготовителем лица, импортера, информацию для связи с ним;</w:t>
            </w:r>
          </w:p>
          <w:p>
            <w:pPr>
              <w:spacing w:after="20"/>
              <w:ind w:left="20"/>
              <w:jc w:val="both"/>
            </w:pPr>
            <w:r>
              <w:rPr>
                <w:rFonts w:ascii="Times New Roman"/>
                <w:b w:val="false"/>
                <w:i w:val="false"/>
                <w:color w:val="000000"/>
                <w:sz w:val="20"/>
              </w:rPr>
              <w:t>
17) дату изготовления.</w:t>
            </w:r>
          </w:p>
          <w:p>
            <w:pPr>
              <w:spacing w:after="20"/>
              <w:ind w:left="20"/>
              <w:jc w:val="both"/>
            </w:pPr>
            <w:r>
              <w:rPr>
                <w:rFonts w:ascii="Times New Roman"/>
                <w:b w:val="false"/>
                <w:i w:val="false"/>
                <w:color w:val="000000"/>
                <w:sz w:val="20"/>
              </w:rPr>
              <w:t>
Техническая документация изготавливается на бумажных носителях. К ней может быть приложен комплект технической документации на электронных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оборудовании для работы во взрывоопасных средах маркировки, включающее следующее:</w:t>
            </w:r>
          </w:p>
          <w:p>
            <w:pPr>
              <w:spacing w:after="20"/>
              <w:ind w:left="20"/>
              <w:jc w:val="both"/>
            </w:pPr>
            <w:r>
              <w:rPr>
                <w:rFonts w:ascii="Times New Roman"/>
                <w:b w:val="false"/>
                <w:i w:val="false"/>
                <w:color w:val="000000"/>
                <w:sz w:val="20"/>
              </w:rPr>
              <w:t>
1) наименование изготовителя или его зарегистрированный товарный знак;</w:t>
            </w:r>
          </w:p>
          <w:p>
            <w:pPr>
              <w:spacing w:after="20"/>
              <w:ind w:left="20"/>
              <w:jc w:val="both"/>
            </w:pPr>
            <w:r>
              <w:rPr>
                <w:rFonts w:ascii="Times New Roman"/>
                <w:b w:val="false"/>
                <w:i w:val="false"/>
                <w:color w:val="000000"/>
                <w:sz w:val="20"/>
              </w:rPr>
              <w:t>
2) обозначение типа оборудования;</w:t>
            </w:r>
          </w:p>
          <w:p>
            <w:pPr>
              <w:spacing w:after="20"/>
              <w:ind w:left="20"/>
              <w:jc w:val="both"/>
            </w:pPr>
            <w:r>
              <w:rPr>
                <w:rFonts w:ascii="Times New Roman"/>
                <w:b w:val="false"/>
                <w:i w:val="false"/>
                <w:color w:val="000000"/>
                <w:sz w:val="20"/>
              </w:rPr>
              <w:t>
3) заводской номер;</w:t>
            </w:r>
          </w:p>
          <w:p>
            <w:pPr>
              <w:spacing w:after="20"/>
              <w:ind w:left="20"/>
              <w:jc w:val="both"/>
            </w:pPr>
            <w:r>
              <w:rPr>
                <w:rFonts w:ascii="Times New Roman"/>
                <w:b w:val="false"/>
                <w:i w:val="false"/>
                <w:color w:val="000000"/>
                <w:sz w:val="20"/>
              </w:rPr>
              <w:t>
4) номер сертификата соответствия;</w:t>
            </w:r>
          </w:p>
          <w:p>
            <w:pPr>
              <w:spacing w:after="20"/>
              <w:ind w:left="20"/>
              <w:jc w:val="both"/>
            </w:pPr>
            <w:r>
              <w:rPr>
                <w:rFonts w:ascii="Times New Roman"/>
                <w:b w:val="false"/>
                <w:i w:val="false"/>
                <w:color w:val="000000"/>
                <w:sz w:val="20"/>
              </w:rPr>
              <w:t>
5) маркировку взрывозащиты. Изображение специального знака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выполнению маркировки и технической документации изготовителя оборудования для работы во взрывоопасных средах на русском языке и на государственном языке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нанесению на поверхность или табличку оборудования для работы во взрывоопасных средах, доступных для осмотра без разборки и применения инструмента, со свойством сохраняться в течение всего срока службы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дополнительной информации на маркировке оборудования для работы во взрывоопасных средах, в соответствии с решением изготовителя или в соответствии с контрактом (договором) поставки, которая имеет значение для его безопасного применения, в том числе:</w:t>
            </w:r>
          </w:p>
          <w:p>
            <w:pPr>
              <w:spacing w:after="20"/>
              <w:ind w:left="20"/>
              <w:jc w:val="both"/>
            </w:pPr>
            <w:r>
              <w:rPr>
                <w:rFonts w:ascii="Times New Roman"/>
                <w:b w:val="false"/>
                <w:i w:val="false"/>
                <w:color w:val="000000"/>
                <w:sz w:val="20"/>
              </w:rPr>
              <w:t>
1) номинальное напряжение или диапазон номинальных напряжений;</w:t>
            </w:r>
          </w:p>
          <w:p>
            <w:pPr>
              <w:spacing w:after="20"/>
              <w:ind w:left="20"/>
              <w:jc w:val="both"/>
            </w:pPr>
            <w:r>
              <w:rPr>
                <w:rFonts w:ascii="Times New Roman"/>
                <w:b w:val="false"/>
                <w:i w:val="false"/>
                <w:color w:val="000000"/>
                <w:sz w:val="20"/>
              </w:rPr>
              <w:t>
2) длительно допустимое рабочее напряжение;</w:t>
            </w:r>
          </w:p>
          <w:p>
            <w:pPr>
              <w:spacing w:after="20"/>
              <w:ind w:left="20"/>
              <w:jc w:val="both"/>
            </w:pPr>
            <w:r>
              <w:rPr>
                <w:rFonts w:ascii="Times New Roman"/>
                <w:b w:val="false"/>
                <w:i w:val="false"/>
                <w:color w:val="000000"/>
                <w:sz w:val="20"/>
              </w:rPr>
              <w:t>
3) условное обозначение рода тока (если не указана номинальная частота);</w:t>
            </w:r>
          </w:p>
          <w:p>
            <w:pPr>
              <w:spacing w:after="20"/>
              <w:ind w:left="20"/>
              <w:jc w:val="both"/>
            </w:pPr>
            <w:r>
              <w:rPr>
                <w:rFonts w:ascii="Times New Roman"/>
                <w:b w:val="false"/>
                <w:i w:val="false"/>
                <w:color w:val="000000"/>
                <w:sz w:val="20"/>
              </w:rPr>
              <w:t>
4) условное обозначение класса защиты от поражения человека электрическим током;</w:t>
            </w:r>
          </w:p>
          <w:p>
            <w:pPr>
              <w:spacing w:after="20"/>
              <w:ind w:left="20"/>
              <w:jc w:val="both"/>
            </w:pPr>
            <w:r>
              <w:rPr>
                <w:rFonts w:ascii="Times New Roman"/>
                <w:b w:val="false"/>
                <w:i w:val="false"/>
                <w:color w:val="000000"/>
                <w:sz w:val="20"/>
              </w:rPr>
              <w:t>
5) степень защиты, обеспечиваемая оболочкой;</w:t>
            </w:r>
          </w:p>
          <w:p>
            <w:pPr>
              <w:spacing w:after="20"/>
              <w:ind w:left="20"/>
              <w:jc w:val="both"/>
            </w:pPr>
            <w:r>
              <w:rPr>
                <w:rFonts w:ascii="Times New Roman"/>
                <w:b w:val="false"/>
                <w:i w:val="false"/>
                <w:color w:val="000000"/>
                <w:sz w:val="20"/>
              </w:rPr>
              <w:t>
6) номинальную потребляемую или полезную мощность либо номинальный ток;</w:t>
            </w:r>
          </w:p>
          <w:p>
            <w:pPr>
              <w:spacing w:after="20"/>
              <w:ind w:left="20"/>
              <w:jc w:val="both"/>
            </w:pPr>
            <w:r>
              <w:rPr>
                <w:rFonts w:ascii="Times New Roman"/>
                <w:b w:val="false"/>
                <w:i w:val="false"/>
                <w:color w:val="000000"/>
                <w:sz w:val="20"/>
              </w:rPr>
              <w:t>
7) массу;</w:t>
            </w:r>
          </w:p>
          <w:p>
            <w:pPr>
              <w:spacing w:after="20"/>
              <w:ind w:left="20"/>
              <w:jc w:val="both"/>
            </w:pPr>
            <w:r>
              <w:rPr>
                <w:rFonts w:ascii="Times New Roman"/>
                <w:b w:val="false"/>
                <w:i w:val="false"/>
                <w:color w:val="000000"/>
                <w:sz w:val="20"/>
              </w:rPr>
              <w:t>
8) габаритные размеры;</w:t>
            </w:r>
          </w:p>
          <w:p>
            <w:pPr>
              <w:spacing w:after="20"/>
              <w:ind w:left="20"/>
              <w:jc w:val="both"/>
            </w:pPr>
            <w:r>
              <w:rPr>
                <w:rFonts w:ascii="Times New Roman"/>
                <w:b w:val="false"/>
                <w:i w:val="false"/>
                <w:color w:val="000000"/>
                <w:sz w:val="20"/>
              </w:rPr>
              <w:t>
9) дату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на наличие и размещение при розничной реализации автомобильного бензина и дизельного топлива в местах, доступных для потребителей информации о наименовании, марке топлива, в том числе об экологическом классе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автомобильного бензина требованиям к характеристикам автомобильного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автомобильном бензине металлосодержащих присадок (содержащих марганец, свинец и железо)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дизельного топлива требованиям к характеристикам дизельного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наряду с выпуском в обращение (обращение) дизельного топлива, допускается выпуск в обращение дизельного топлива, используемого для сельскохозяйственной и внедорожной техники, с цетановым числом не менее 45 и массовой долей серы не более 2000 мг/кг и без нормирования показателей "смазывающая способность" и "массовая доля полициклических ароматических углеводородов" при условии соответствия остальных характеристик требованиям к характеристикам дизельного топлива, с запретом реализации данного топлива через автозаправочные станции общего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дизельном топливе металлосодержащих присадок, за исключением антистатических присадок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мазута требованиям к характеристикам мазута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топлива для реактивных двигателей требованиям к характеристикам топлива для реактивных двигателей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содержания в топливе для реактивных двигателей, поверхностно-активных и химических веществ в количестве, ухудшающем его свойства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авиационного бензина требованиям к характеристикам авиационного бензина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авиационный бензин с октановым числом не менее 99,5 и сортностью не менее 130 может содержать краситель голубого цвета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судового топлива требованиям к характеристикам судового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топлива, выпускаемого в обращение и находящегося в обращении, документа о качестве (паспорт).</w:t>
            </w:r>
          </w:p>
          <w:p>
            <w:pPr>
              <w:spacing w:after="20"/>
              <w:ind w:left="20"/>
              <w:jc w:val="both"/>
            </w:pPr>
            <w:r>
              <w:rPr>
                <w:rFonts w:ascii="Times New Roman"/>
                <w:b w:val="false"/>
                <w:i w:val="false"/>
                <w:color w:val="000000"/>
                <w:sz w:val="20"/>
              </w:rPr>
              <w:t>
При этом паспорт содержит:</w:t>
            </w:r>
          </w:p>
          <w:p>
            <w:pPr>
              <w:spacing w:after="20"/>
              <w:ind w:left="20"/>
              <w:jc w:val="both"/>
            </w:pPr>
            <w:r>
              <w:rPr>
                <w:rFonts w:ascii="Times New Roman"/>
                <w:b w:val="false"/>
                <w:i w:val="false"/>
                <w:color w:val="000000"/>
                <w:sz w:val="20"/>
              </w:rPr>
              <w:t>
1) наименование и обозначение марки топлива;</w:t>
            </w:r>
          </w:p>
          <w:p>
            <w:pPr>
              <w:spacing w:after="20"/>
              <w:ind w:left="20"/>
              <w:jc w:val="both"/>
            </w:pPr>
            <w:r>
              <w:rPr>
                <w:rFonts w:ascii="Times New Roman"/>
                <w:b w:val="false"/>
                <w:i w:val="false"/>
                <w:color w:val="000000"/>
                <w:sz w:val="20"/>
              </w:rPr>
              <w:t>
2) наименование изготовителя (уполномоченного изготовителем лица), импортера, продавца, их местонахождение (с указанием страны);</w:t>
            </w:r>
          </w:p>
          <w:p>
            <w:pPr>
              <w:spacing w:after="20"/>
              <w:ind w:left="20"/>
              <w:jc w:val="both"/>
            </w:pPr>
            <w:r>
              <w:rPr>
                <w:rFonts w:ascii="Times New Roman"/>
                <w:b w:val="false"/>
                <w:i w:val="false"/>
                <w:color w:val="000000"/>
                <w:sz w:val="20"/>
              </w:rPr>
              <w:t>
3) обозначение документа, устанавливающего требования к топливу данной марки (при наличии);</w:t>
            </w:r>
          </w:p>
          <w:p>
            <w:pPr>
              <w:spacing w:after="20"/>
              <w:ind w:left="20"/>
              <w:jc w:val="both"/>
            </w:pPr>
            <w:r>
              <w:rPr>
                <w:rFonts w:ascii="Times New Roman"/>
                <w:b w:val="false"/>
                <w:i w:val="false"/>
                <w:color w:val="000000"/>
                <w:sz w:val="20"/>
              </w:rPr>
              <w:t>
4) нормативные значения и фактические результаты испытаний, подтверждающие соответствие топлива данной марки;</w:t>
            </w:r>
          </w:p>
          <w:p>
            <w:pPr>
              <w:spacing w:after="20"/>
              <w:ind w:left="20"/>
              <w:jc w:val="both"/>
            </w:pPr>
            <w:r>
              <w:rPr>
                <w:rFonts w:ascii="Times New Roman"/>
                <w:b w:val="false"/>
                <w:i w:val="false"/>
                <w:color w:val="000000"/>
                <w:sz w:val="20"/>
              </w:rPr>
              <w:t>
5) дату выдачи и номер паспорта;</w:t>
            </w:r>
          </w:p>
          <w:p>
            <w:pPr>
              <w:spacing w:after="20"/>
              <w:ind w:left="20"/>
              <w:jc w:val="both"/>
            </w:pPr>
            <w:r>
              <w:rPr>
                <w:rFonts w:ascii="Times New Roman"/>
                <w:b w:val="false"/>
                <w:i w:val="false"/>
                <w:color w:val="000000"/>
                <w:sz w:val="20"/>
              </w:rPr>
              <w:t>
6) подпись лица, оформившего паспорт;</w:t>
            </w:r>
          </w:p>
          <w:p>
            <w:pPr>
              <w:spacing w:after="20"/>
              <w:ind w:left="20"/>
              <w:jc w:val="both"/>
            </w:pPr>
            <w:r>
              <w:rPr>
                <w:rFonts w:ascii="Times New Roman"/>
                <w:b w:val="false"/>
                <w:i w:val="false"/>
                <w:color w:val="000000"/>
                <w:sz w:val="20"/>
              </w:rPr>
              <w:t>
7) сведения о декларации соответствия;</w:t>
            </w:r>
          </w:p>
          <w:p>
            <w:pPr>
              <w:spacing w:after="20"/>
              <w:ind w:left="20"/>
              <w:jc w:val="both"/>
            </w:pPr>
            <w:r>
              <w:rPr>
                <w:rFonts w:ascii="Times New Roman"/>
                <w:b w:val="false"/>
                <w:i w:val="false"/>
                <w:color w:val="000000"/>
                <w:sz w:val="20"/>
              </w:rPr>
              <w:t>
сведения о наличии присадок в топливе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сопроводительной документации на партию топлива, выпускаемого в обращение на русском языке и на государственном языке государства-члена Евразийского экономического союза, на территории которого данная партия будет находиться в обращении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опасности взрыва от внешнего источника зажигания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горелки с полным предварительным смешением исключению опасности взрыва при всех предусмотренных изготовителем режимах сжигания газообразного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комбинированной горелки безопасности газоиспользующего оборудования при раздельном сжигании газообразного и жидкого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газового тракта газоиспользующего оборудования исключению превышения установленной изготовителем максимально допустимой нормы утечки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соединения газового тракта герметичности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обеспечению вентиляции камеры сгорания за счет естественной тяги или принудительной подачи воздуха перед зажиганием и повторным зажиганием горелки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ограничение пусковой мощности и времени розжига горелки газоиспользующего оборудования при зажигании и повторном зажигании, количества попыток повторного зажигания, времени отключения подачи газа при погасании пламени для предотвращения опасного скопления несгоревшего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плавного розжига с равномерным воспламенением по всей поверхности горелки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газоиспользующего оборудования, предназначенное для применения во внутренних пространствах и помещениях, обеспечивающее предотвращение скопления несгоревшего газа. Допускается применять газоиспользующее оборудование без подобного устройства в помещениях, в соответствии с требованиями к вентиляции помещения, установленными в инструкции по монтажу, техническому обслуживанию и ремонту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опасности возгорания опорных и прилегающих к газоиспользующему оборудованию поверхностей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устойчивости пламени и отсутствия в продуктах сгорания недопустимых концентраций оксидов углерода и азота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случайного выброса продуктов сгорания в помещение газоиспользующим оборудованием, соединенным с дымоходом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подачи газа к горелке при нарушениях в системе отвода продуктов сгорания, газоиспользующим оборудованием, соединенного с дымоходом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устройства безопасности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 контроля состояния атмосферного воздуха и прекращения подачи газа к горелкам при концентрации оксида углерода в воздухе помещения, превышающей предельно допустимую концентрацию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конденсат, образующийся при пуске, исключает влияние на безопасность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образования конденсата при сжигании газообразного топлива (кроме газоиспользующего оборудования, работающего в конденсационном режиме) газоиспользующим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ухудшения качества материалов, используемые при изготовлении газоиспользующего оборудования, которые соприкасаются с продуктами питания или водой, используемой в санитарных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газоиспользующего оборудования исключению возникновения неустойчивых положений, деформаций, поломок или износа, способных снизить его безопасность в течение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деталей газоиспользующего оборудования, находящиеся под давлением, механическим и температурным эксплуатационным нагрузкам во избежание возникновения деформаций, влияющих на безопасность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материалов, применяемых при изготовлении газоиспользующего оборудования своему назначению и устойчивости к механическим, тепловым и химическим воздействиям, которым они будут подвергаться в течение срока службы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нагрев поверхности устройств ручного управления и внешних поверхностей газоиспользующего оборудования, с которыми может контактировать пользователь, за исключением поверхностей, выполняющих функцию теплопередачи или нагреваемых открытым пламенем, не приводит к термическому ожогу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конструкция газоиспользующего оборудования, предназначенного для горячего водоснабжения, предусматривает устройство, исключающее термический ожог пользователя водой, применяемой в данной системе водоснабжения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колебания электрического напряжения или изменения характеристик вспомогательной энергии, а также отключение энергии и последующее ее восстановление не нарушает безопасность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подключаемым к электрической сети, защиты от поражения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газоиспользующее оборудование оснащено устройствами управления, то их работа не нарушает функционирование устройств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газоиспользующим оборудованием безопасности при выходе из строя любого из устройств регулирования, управления или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устройстве управления, регулирования и запорной арматуре газоиспользующего оборудования, обозначения и соответствующего указания, предотвращающего ошибочные действия со стороны пользователя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при котором устройства безопасности, управления и регулирования газоиспользующего оборудования, устанавливаемые и регулируемые изготовителем и не требующие регулировки монтажником или пользователем, соответствующим образом защищены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эксплуатационной документации информации, ограничивающей условия применения газоиспользующего оборудования или предупреждающей о необходимости принятия мер по обеспечению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эксплуатационной документации газоиспользующего оборудования соответствует нижеследующему:</w:t>
            </w:r>
          </w:p>
          <w:p>
            <w:pPr>
              <w:spacing w:after="20"/>
              <w:ind w:left="20"/>
              <w:jc w:val="both"/>
            </w:pPr>
            <w:r>
              <w:rPr>
                <w:rFonts w:ascii="Times New Roman"/>
                <w:b w:val="false"/>
                <w:i w:val="false"/>
                <w:color w:val="000000"/>
                <w:sz w:val="20"/>
              </w:rPr>
              <w:t>
1) в комплект поставки газоиспользующего оборудования входить следующая эксплуатационная документация: инструкция по монтажу, техническому обслуживанию и ремонту газоиспользующего оборудования и руководство по его эксплуатации. Указанные документы выполняются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2) эксплуатационные документы выполняются на бумажных носителях. К ним может быть приложен комплект эксплуатационных документов на электронных носителях. При необходимости допускается объединять указанные документы.</w:t>
            </w:r>
          </w:p>
          <w:p>
            <w:pPr>
              <w:spacing w:after="20"/>
              <w:ind w:left="20"/>
              <w:jc w:val="both"/>
            </w:pPr>
            <w:r>
              <w:rPr>
                <w:rFonts w:ascii="Times New Roman"/>
                <w:b w:val="false"/>
                <w:i w:val="false"/>
                <w:color w:val="000000"/>
                <w:sz w:val="20"/>
              </w:rPr>
              <w:t>
3) инструкция по монтажу, техническому обслуживанию и ремонту газоиспользующего оборудования содержать следующую информацию:</w:t>
            </w:r>
          </w:p>
          <w:p>
            <w:pPr>
              <w:spacing w:after="20"/>
              <w:ind w:left="20"/>
              <w:jc w:val="both"/>
            </w:pPr>
            <w:r>
              <w:rPr>
                <w:rFonts w:ascii="Times New Roman"/>
                <w:b w:val="false"/>
                <w:i w:val="false"/>
                <w:color w:val="000000"/>
                <w:sz w:val="20"/>
              </w:rPr>
              <w:t>
а) общее описание газоиспользующего оборудования и порядок его работы;</w:t>
            </w:r>
          </w:p>
          <w:p>
            <w:pPr>
              <w:spacing w:after="20"/>
              <w:ind w:left="20"/>
              <w:jc w:val="both"/>
            </w:pPr>
            <w:r>
              <w:rPr>
                <w:rFonts w:ascii="Times New Roman"/>
                <w:b w:val="false"/>
                <w:i w:val="false"/>
                <w:color w:val="000000"/>
                <w:sz w:val="20"/>
              </w:rPr>
              <w:t>
б) номинальную тепловую мощность и (или) номинальную тепловую производительность газоиспользующего оборудования;</w:t>
            </w:r>
          </w:p>
          <w:p>
            <w:pPr>
              <w:spacing w:after="20"/>
              <w:ind w:left="20"/>
              <w:jc w:val="both"/>
            </w:pPr>
            <w:r>
              <w:rPr>
                <w:rFonts w:ascii="Times New Roman"/>
                <w:b w:val="false"/>
                <w:i w:val="false"/>
                <w:color w:val="000000"/>
                <w:sz w:val="20"/>
              </w:rPr>
              <w:t>
в) виды и номинальные давления используемых газов;</w:t>
            </w:r>
          </w:p>
          <w:p>
            <w:pPr>
              <w:spacing w:after="20"/>
              <w:ind w:left="20"/>
              <w:jc w:val="both"/>
            </w:pPr>
            <w:r>
              <w:rPr>
                <w:rFonts w:ascii="Times New Roman"/>
                <w:b w:val="false"/>
                <w:i w:val="false"/>
                <w:color w:val="000000"/>
                <w:sz w:val="20"/>
              </w:rPr>
              <w:t>
г) порядок перевода газоиспользующего оборудования с одного вида газа на другой;</w:t>
            </w:r>
          </w:p>
          <w:p>
            <w:pPr>
              <w:spacing w:after="20"/>
              <w:ind w:left="20"/>
              <w:jc w:val="both"/>
            </w:pPr>
            <w:r>
              <w:rPr>
                <w:rFonts w:ascii="Times New Roman"/>
                <w:b w:val="false"/>
                <w:i w:val="false"/>
                <w:color w:val="000000"/>
                <w:sz w:val="20"/>
              </w:rPr>
              <w:t>
д) требования к вентиляции помещения, где установлено газоиспользующее оборудование, для обеспечения процесса горения, исключения скопления опасных несгоревших газов и создания условий, обеспечивающих удаление продуктов горения;</w:t>
            </w:r>
          </w:p>
          <w:p>
            <w:pPr>
              <w:spacing w:after="20"/>
              <w:ind w:left="20"/>
              <w:jc w:val="both"/>
            </w:pPr>
            <w:r>
              <w:rPr>
                <w:rFonts w:ascii="Times New Roman"/>
                <w:b w:val="false"/>
                <w:i w:val="false"/>
                <w:color w:val="000000"/>
                <w:sz w:val="20"/>
              </w:rPr>
              <w:t>
е) требования к газовым блочным горелкам и газоиспользующему оборудованию, для которого предназначены эти горелки, а при необходимости перечень комбинаций, рекомендованный изготовителем, чтобы гарантировать надлежащую сборку и наладку, обеспечить заявленные технические характеристики и безопасность собранного образца газоиспользующего оборудования во время эксплуатации;</w:t>
            </w:r>
          </w:p>
          <w:p>
            <w:pPr>
              <w:spacing w:after="20"/>
              <w:ind w:left="20"/>
              <w:jc w:val="both"/>
            </w:pPr>
            <w:r>
              <w:rPr>
                <w:rFonts w:ascii="Times New Roman"/>
                <w:b w:val="false"/>
                <w:i w:val="false"/>
                <w:color w:val="000000"/>
                <w:sz w:val="20"/>
              </w:rPr>
              <w:t>
ж) требования к химическому составу воды для отопительного оборудования (когда вода является теплоносителем);</w:t>
            </w:r>
          </w:p>
          <w:p>
            <w:pPr>
              <w:spacing w:after="20"/>
              <w:ind w:left="20"/>
              <w:jc w:val="both"/>
            </w:pPr>
            <w:r>
              <w:rPr>
                <w:rFonts w:ascii="Times New Roman"/>
                <w:b w:val="false"/>
                <w:i w:val="false"/>
                <w:color w:val="000000"/>
                <w:sz w:val="20"/>
              </w:rPr>
              <w:t>
з) номинальное напряжение электрической сети для газоиспользующего оборудования с электрическим питанием систем автоматики;</w:t>
            </w:r>
          </w:p>
          <w:p>
            <w:pPr>
              <w:spacing w:after="20"/>
              <w:ind w:left="20"/>
              <w:jc w:val="both"/>
            </w:pPr>
            <w:r>
              <w:rPr>
                <w:rFonts w:ascii="Times New Roman"/>
                <w:b w:val="false"/>
                <w:i w:val="false"/>
                <w:color w:val="000000"/>
                <w:sz w:val="20"/>
              </w:rPr>
              <w:t>
и) виды и периодичность технического обслуживания, которому подвергаться газоиспользующее оборудование в процессе его эксплуатации;</w:t>
            </w:r>
          </w:p>
          <w:p>
            <w:pPr>
              <w:spacing w:after="20"/>
              <w:ind w:left="20"/>
              <w:jc w:val="both"/>
            </w:pPr>
            <w:r>
              <w:rPr>
                <w:rFonts w:ascii="Times New Roman"/>
                <w:b w:val="false"/>
                <w:i w:val="false"/>
                <w:color w:val="000000"/>
                <w:sz w:val="20"/>
              </w:rPr>
              <w:t>
к) характерные неисправности газоиспользующего оборудования и методы их устранения;</w:t>
            </w:r>
          </w:p>
          <w:p>
            <w:pPr>
              <w:spacing w:after="20"/>
              <w:ind w:left="20"/>
              <w:jc w:val="both"/>
            </w:pPr>
            <w:r>
              <w:rPr>
                <w:rFonts w:ascii="Times New Roman"/>
                <w:b w:val="false"/>
                <w:i w:val="false"/>
                <w:color w:val="000000"/>
                <w:sz w:val="20"/>
              </w:rPr>
              <w:t>
л) требования к воздухообмену в помещении, где допускается установка отопительного и водонагревательного газоиспользующего оборудования, не соединенного с дымоходом и не оснащенного вытяжным устройством для отвода продуктов сгорания;</w:t>
            </w:r>
          </w:p>
          <w:p>
            <w:pPr>
              <w:spacing w:after="20"/>
              <w:ind w:left="20"/>
              <w:jc w:val="both"/>
            </w:pPr>
            <w:r>
              <w:rPr>
                <w:rFonts w:ascii="Times New Roman"/>
                <w:b w:val="false"/>
                <w:i w:val="false"/>
                <w:color w:val="000000"/>
                <w:sz w:val="20"/>
              </w:rPr>
              <w:t>
м) наименование и местонахождение изготовителя (лица, выполняющего функции иностранного изготовителя), информацию для связи с ними;</w:t>
            </w:r>
          </w:p>
          <w:p>
            <w:pPr>
              <w:spacing w:after="20"/>
              <w:ind w:left="20"/>
              <w:jc w:val="both"/>
            </w:pPr>
            <w:r>
              <w:rPr>
                <w:rFonts w:ascii="Times New Roman"/>
                <w:b w:val="false"/>
                <w:i w:val="false"/>
                <w:color w:val="000000"/>
                <w:sz w:val="20"/>
              </w:rPr>
              <w:t>
н) месяц и год изготовления газоиспользующего оборудования и (или) информацию о месте нанесения и способе определения года изготовления.</w:t>
            </w:r>
          </w:p>
          <w:p>
            <w:pPr>
              <w:spacing w:after="20"/>
              <w:ind w:left="20"/>
              <w:jc w:val="both"/>
            </w:pPr>
            <w:r>
              <w:rPr>
                <w:rFonts w:ascii="Times New Roman"/>
                <w:b w:val="false"/>
                <w:i w:val="false"/>
                <w:color w:val="000000"/>
                <w:sz w:val="20"/>
              </w:rPr>
              <w:t>
4) руководство по эксплуатации газоиспользующего оборудования содержать все сведения, необходимые для его безопасной эксплуатации в течение срока службы, и указывать пользователю на ограничение его возможностей;</w:t>
            </w:r>
          </w:p>
          <w:p>
            <w:pPr>
              <w:spacing w:after="20"/>
              <w:ind w:left="20"/>
              <w:jc w:val="both"/>
            </w:pPr>
            <w:r>
              <w:rPr>
                <w:rFonts w:ascii="Times New Roman"/>
                <w:b w:val="false"/>
                <w:i w:val="false"/>
                <w:color w:val="000000"/>
                <w:sz w:val="20"/>
              </w:rPr>
              <w:t>
5) в руководстве по эксплуатации установлены рекомендации по безопасной утилизации газоиспользующего оборудования;</w:t>
            </w:r>
          </w:p>
          <w:p>
            <w:pPr>
              <w:spacing w:after="20"/>
              <w:ind w:left="20"/>
              <w:jc w:val="both"/>
            </w:pPr>
            <w:r>
              <w:rPr>
                <w:rFonts w:ascii="Times New Roman"/>
                <w:b w:val="false"/>
                <w:i w:val="false"/>
                <w:color w:val="000000"/>
                <w:sz w:val="20"/>
              </w:rPr>
              <w:t>
6) арматура, предназначенная для монтажа газоиспользующего оборудования, и устройства, предназначенные для встраивания в газоиспользующее оборудование, поставляться в комплекте с инструкцией по монтажу, техническому обслуживанию и ремонту газоиспользующего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информация, содержащаяся в маркировке газоиспользующего оборудования соответствовать нижеследующему:</w:t>
            </w:r>
          </w:p>
          <w:p>
            <w:pPr>
              <w:spacing w:after="20"/>
              <w:ind w:left="20"/>
              <w:jc w:val="both"/>
            </w:pPr>
            <w:r>
              <w:rPr>
                <w:rFonts w:ascii="Times New Roman"/>
                <w:b w:val="false"/>
                <w:i w:val="false"/>
                <w:color w:val="000000"/>
                <w:sz w:val="20"/>
              </w:rPr>
              <w:t>
1) каждая единица газоиспользующего оборудования, выпускаемого в обращение на рынке государств - членов Евразийского экономического союза, иметь разборчивую, легко читаемую маркировку, нанесенную в доступном для осмотра без разборки с применением инструмента месте, сохраняемую в течение срока службы газоиспользующего оборудования;</w:t>
            </w:r>
          </w:p>
          <w:p>
            <w:pPr>
              <w:spacing w:after="20"/>
              <w:ind w:left="20"/>
              <w:jc w:val="both"/>
            </w:pPr>
            <w:r>
              <w:rPr>
                <w:rFonts w:ascii="Times New Roman"/>
                <w:b w:val="false"/>
                <w:i w:val="false"/>
                <w:color w:val="000000"/>
                <w:sz w:val="20"/>
              </w:rPr>
              <w:t>
2) информация, содержащаяся в маркировке газоиспользующего оборудования, излагается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3) маркировка содержать следующую информацию:</w:t>
            </w:r>
          </w:p>
          <w:p>
            <w:pPr>
              <w:spacing w:after="20"/>
              <w:ind w:left="20"/>
              <w:jc w:val="both"/>
            </w:pPr>
            <w:r>
              <w:rPr>
                <w:rFonts w:ascii="Times New Roman"/>
                <w:b w:val="false"/>
                <w:i w:val="false"/>
                <w:color w:val="000000"/>
                <w:sz w:val="20"/>
              </w:rPr>
              <w:t>
а) наименование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б) модель (тип) оборудования;</w:t>
            </w:r>
          </w:p>
          <w:p>
            <w:pPr>
              <w:spacing w:after="20"/>
              <w:ind w:left="20"/>
              <w:jc w:val="both"/>
            </w:pPr>
            <w:r>
              <w:rPr>
                <w:rFonts w:ascii="Times New Roman"/>
                <w:b w:val="false"/>
                <w:i w:val="false"/>
                <w:color w:val="000000"/>
                <w:sz w:val="20"/>
              </w:rPr>
              <w:t>
в) серийный номер (номер партии);</w:t>
            </w:r>
          </w:p>
          <w:p>
            <w:pPr>
              <w:spacing w:after="20"/>
              <w:ind w:left="20"/>
              <w:jc w:val="both"/>
            </w:pPr>
            <w:r>
              <w:rPr>
                <w:rFonts w:ascii="Times New Roman"/>
                <w:b w:val="false"/>
                <w:i w:val="false"/>
                <w:color w:val="000000"/>
                <w:sz w:val="20"/>
              </w:rPr>
              <w:t>
г) дата изготовления оборудования (месяц, год);</w:t>
            </w:r>
          </w:p>
          <w:p>
            <w:pPr>
              <w:spacing w:after="20"/>
              <w:ind w:left="20"/>
              <w:jc w:val="both"/>
            </w:pPr>
            <w:r>
              <w:rPr>
                <w:rFonts w:ascii="Times New Roman"/>
                <w:b w:val="false"/>
                <w:i w:val="false"/>
                <w:color w:val="000000"/>
                <w:sz w:val="20"/>
              </w:rPr>
              <w:t>
д) номинальная тепловая мощность и номинальная тепловая производительность газоиспользующего оборудования;</w:t>
            </w:r>
          </w:p>
          <w:p>
            <w:pPr>
              <w:spacing w:after="20"/>
              <w:ind w:left="20"/>
              <w:jc w:val="both"/>
            </w:pPr>
            <w:r>
              <w:rPr>
                <w:rFonts w:ascii="Times New Roman"/>
                <w:b w:val="false"/>
                <w:i w:val="false"/>
                <w:color w:val="000000"/>
                <w:sz w:val="20"/>
              </w:rPr>
              <w:t>
е) вид и номинальное давление используемого газа;</w:t>
            </w:r>
          </w:p>
          <w:p>
            <w:pPr>
              <w:spacing w:after="20"/>
              <w:ind w:left="20"/>
              <w:jc w:val="both"/>
            </w:pPr>
            <w:r>
              <w:rPr>
                <w:rFonts w:ascii="Times New Roman"/>
                <w:b w:val="false"/>
                <w:i w:val="false"/>
                <w:color w:val="000000"/>
                <w:sz w:val="20"/>
              </w:rPr>
              <w:t>
ж) напряжение, частота электрического тока и потребляемая электрическая мощность (для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4) предупредительные надписи, нанесенные на газоиспользующее оборудование, информировать пользователя:</w:t>
            </w:r>
          </w:p>
          <w:p>
            <w:pPr>
              <w:spacing w:after="20"/>
              <w:ind w:left="20"/>
              <w:jc w:val="both"/>
            </w:pPr>
            <w:r>
              <w:rPr>
                <w:rFonts w:ascii="Times New Roman"/>
                <w:b w:val="false"/>
                <w:i w:val="false"/>
                <w:color w:val="000000"/>
                <w:sz w:val="20"/>
              </w:rPr>
              <w:t>
а) об опасности взрыва, пожара, отравления угарным газом, вредного термического воздействия, поражения электрическим током (в части газоиспользующего оборудования, подключаемого к электрической сети);</w:t>
            </w:r>
          </w:p>
          <w:p>
            <w:pPr>
              <w:spacing w:after="20"/>
              <w:ind w:left="20"/>
              <w:jc w:val="both"/>
            </w:pPr>
            <w:r>
              <w:rPr>
                <w:rFonts w:ascii="Times New Roman"/>
                <w:b w:val="false"/>
                <w:i w:val="false"/>
                <w:color w:val="000000"/>
                <w:sz w:val="20"/>
              </w:rPr>
              <w:t>
б) о необходимости установки газоиспользующего оборудования в хорошо проветриваемых помещениях (в части газоиспользующего оборудования с отводом продуктов сгорания в помещение).</w:t>
            </w:r>
          </w:p>
          <w:p>
            <w:pPr>
              <w:spacing w:after="20"/>
              <w:ind w:left="20"/>
              <w:jc w:val="both"/>
            </w:pPr>
            <w:r>
              <w:rPr>
                <w:rFonts w:ascii="Times New Roman"/>
                <w:b w:val="false"/>
                <w:i w:val="false"/>
                <w:color w:val="000000"/>
                <w:sz w:val="20"/>
              </w:rPr>
              <w:t>
5) все присоединительные отверстия трубопроводов закрыты транспортировочными заглушками.</w:t>
            </w:r>
          </w:p>
          <w:p>
            <w:pPr>
              <w:spacing w:after="20"/>
              <w:ind w:left="20"/>
              <w:jc w:val="both"/>
            </w:pPr>
            <w:r>
              <w:rPr>
                <w:rFonts w:ascii="Times New Roman"/>
                <w:b w:val="false"/>
                <w:i w:val="false"/>
                <w:color w:val="000000"/>
                <w:sz w:val="20"/>
              </w:rPr>
              <w:t>
6) каждая единица газоиспользующего оборудования упакована так, чтобы обеспечить его сохранность при хранении и транспортировании.</w:t>
            </w:r>
          </w:p>
          <w:p>
            <w:pPr>
              <w:spacing w:after="20"/>
              <w:ind w:left="20"/>
              <w:jc w:val="both"/>
            </w:pPr>
            <w:r>
              <w:rPr>
                <w:rFonts w:ascii="Times New Roman"/>
                <w:b w:val="false"/>
                <w:i w:val="false"/>
                <w:color w:val="000000"/>
                <w:sz w:val="20"/>
              </w:rPr>
              <w:t>
7) упаковка обеспечивать условия транспортирования, погрузки и разгрузки газоиспользующего оборудования.</w:t>
            </w:r>
          </w:p>
          <w:p>
            <w:pPr>
              <w:spacing w:after="20"/>
              <w:ind w:left="20"/>
              <w:jc w:val="both"/>
            </w:pPr>
            <w:r>
              <w:rPr>
                <w:rFonts w:ascii="Times New Roman"/>
                <w:b w:val="false"/>
                <w:i w:val="false"/>
                <w:color w:val="000000"/>
                <w:sz w:val="20"/>
              </w:rPr>
              <w:t>
8) на упаковку с внешней стороны нанесена маркировка.</w:t>
            </w:r>
          </w:p>
          <w:p>
            <w:pPr>
              <w:spacing w:after="20"/>
              <w:ind w:left="20"/>
              <w:jc w:val="both"/>
            </w:pPr>
            <w:r>
              <w:rPr>
                <w:rFonts w:ascii="Times New Roman"/>
                <w:b w:val="false"/>
                <w:i w:val="false"/>
                <w:color w:val="000000"/>
                <w:sz w:val="20"/>
              </w:rPr>
              <w:t>
9) четкой и хорошо различимой маркировкой, нанесена несмываемой или водоотталкивающей краской, контрастной с цветом упаковки.</w:t>
            </w:r>
          </w:p>
          <w:p>
            <w:pPr>
              <w:spacing w:after="20"/>
              <w:ind w:left="20"/>
              <w:jc w:val="both"/>
            </w:pPr>
            <w:r>
              <w:rPr>
                <w:rFonts w:ascii="Times New Roman"/>
                <w:b w:val="false"/>
                <w:i w:val="false"/>
                <w:color w:val="000000"/>
                <w:sz w:val="20"/>
              </w:rPr>
              <w:t>
10) маркировка на упаковке содержать следующую информацию: а) модель (тип) оборудования;</w:t>
            </w:r>
          </w:p>
          <w:p>
            <w:pPr>
              <w:spacing w:after="20"/>
              <w:ind w:left="20"/>
              <w:jc w:val="both"/>
            </w:pPr>
            <w:r>
              <w:rPr>
                <w:rFonts w:ascii="Times New Roman"/>
                <w:b w:val="false"/>
                <w:i w:val="false"/>
                <w:color w:val="000000"/>
                <w:sz w:val="20"/>
              </w:rPr>
              <w:t>
б) вид и номинальное давление используемого газа;</w:t>
            </w:r>
          </w:p>
          <w:p>
            <w:pPr>
              <w:spacing w:after="20"/>
              <w:ind w:left="20"/>
              <w:jc w:val="both"/>
            </w:pPr>
            <w:r>
              <w:rPr>
                <w:rFonts w:ascii="Times New Roman"/>
                <w:b w:val="false"/>
                <w:i w:val="false"/>
                <w:color w:val="000000"/>
                <w:sz w:val="20"/>
              </w:rPr>
              <w:t>
в) манипуляционные знаки;</w:t>
            </w:r>
          </w:p>
          <w:p>
            <w:pPr>
              <w:spacing w:after="20"/>
              <w:ind w:left="20"/>
              <w:jc w:val="both"/>
            </w:pPr>
            <w:r>
              <w:rPr>
                <w:rFonts w:ascii="Times New Roman"/>
                <w:b w:val="false"/>
                <w:i w:val="false"/>
                <w:color w:val="000000"/>
                <w:sz w:val="20"/>
              </w:rPr>
              <w:t>
г) наименование и (или) товарный знак изготовителя, наименование страны, где изготовлена продукция.</w:t>
            </w:r>
          </w:p>
          <w:p>
            <w:pPr>
              <w:spacing w:after="20"/>
              <w:ind w:left="20"/>
              <w:jc w:val="both"/>
            </w:pPr>
            <w:r>
              <w:rPr>
                <w:rFonts w:ascii="Times New Roman"/>
                <w:b w:val="false"/>
                <w:i w:val="false"/>
                <w:color w:val="000000"/>
                <w:sz w:val="20"/>
              </w:rPr>
              <w:t>
11) манипуляционные знаки дублироваться на разных местах упаковки;</w:t>
            </w:r>
          </w:p>
          <w:p>
            <w:pPr>
              <w:spacing w:after="20"/>
              <w:ind w:left="20"/>
              <w:jc w:val="both"/>
            </w:pPr>
            <w:r>
              <w:rPr>
                <w:rFonts w:ascii="Times New Roman"/>
                <w:b w:val="false"/>
                <w:i w:val="false"/>
                <w:color w:val="000000"/>
                <w:sz w:val="20"/>
              </w:rPr>
              <w:t>
12) допускается маркировать только упаковку, если маркировку невозможно нанести непосредственно на газоиспользующее оборудование ввиду особенностей конструкции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прохождению оценки соответствия, при котором запрещается изготовление транспортных средств из бывших в употреблении компонентов, за исключением транспортных средств, изготавливаемых для личного пользования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установка на транспортные средства категорий М1 и N1 конструкций, выступающих вперед относительно линии бампера, соответствующей внешнему контуру проекции транспортного средства на горизонтальную плоскость опорной поверхности, изготавливаемых из стали или материалов с аналогичными прочностными характеристиками. Данное требование не распространяется на конструкции, предусмотренные штатной комплектацией транспортного средства, на транспортные средства прошедшие оценку соответствия в установленном порядке, а также на металлические решетки массой менее 0,5 кг, предназначенные для защиты только фар, и государственный регистрационный знак и элементы его крепления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допускается в составе кондиционеров, а также холодильного оборудования, применяемых на транспортных средствах, наличие озоноразрушающих веществ и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 используемые для коммерческих перевозок пассажиров, а также специально предназначенные для перевозки детей, и категории N, используемые для перевозки твердых бытовых отходов и мусора (мусоровозы), специальных, опасных, тяжеловесных и крупногабаритных грузов, а также транспортные средства оперативных служб подлежат оснащению аппаратурой спутниковой навигации. Конструкция указанных транспортных средств обеспечивать возможность оснащения их указанной аппаратурой.</w:t>
            </w:r>
          </w:p>
          <w:p>
            <w:pPr>
              <w:spacing w:after="20"/>
              <w:ind w:left="20"/>
              <w:jc w:val="both"/>
            </w:pPr>
            <w:r>
              <w:rPr>
                <w:rFonts w:ascii="Times New Roman"/>
                <w:b w:val="false"/>
                <w:i w:val="false"/>
                <w:color w:val="000000"/>
                <w:sz w:val="20"/>
              </w:rPr>
              <w:t>
Транспортные средства оперативных служб и транспортные средства категории N, используемые для перевозки твердых бытовых отходов и мусора (мусоровозы), оснащаются аппаратурой спутниковой навигации.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выпускаемые в обращение транспортные средства категории М1, оснащаются системой вызова экстренных оперативных служб, прочие выпускаемые в обращение транспортные средства категорий М1 и N1, транспортные средства категорий М2, М3, N2, N3 оснащаются устройством вызова экстренных оперативных служб</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конструкция выпускаемых в обращение транспортных средств категорий М2 и М3, осуществляющих коммерческие перевозки пассажиров, категорий N2 и N3, осуществляющих коммерческие перевозки грузов, предусматривает возможность оснащения (штатные места установки, крепления, энергопитания) техническими средствами контроля за соблюдением водителями режимов движения, труда и отдыха (тахографами)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согласно которого функционирование интерфейса (совокупность элементов, обеспечивающих возможность взаимодействия пользователя с электронными системами, включая получение пользователем зрительной и голосовой информации и введение им команд управления) выпускаемых в обращение транспортных средств (шасси), а также нанесение на них информационных и предупреждающих надписей осуществляются на русском языке.</w:t>
            </w:r>
          </w:p>
          <w:p>
            <w:pPr>
              <w:spacing w:after="20"/>
              <w:ind w:left="20"/>
              <w:jc w:val="both"/>
            </w:pPr>
            <w:r>
              <w:rPr>
                <w:rFonts w:ascii="Times New Roman"/>
                <w:b w:val="false"/>
                <w:i w:val="false"/>
                <w:color w:val="000000"/>
                <w:sz w:val="20"/>
              </w:rPr>
              <w:t>
Указанное требование применяется при проведении оценки соответствия в форме одобрения типа в отношении:</w:t>
            </w:r>
          </w:p>
          <w:p>
            <w:pPr>
              <w:spacing w:after="20"/>
              <w:ind w:left="20"/>
              <w:jc w:val="both"/>
            </w:pPr>
            <w:r>
              <w:rPr>
                <w:rFonts w:ascii="Times New Roman"/>
                <w:b w:val="false"/>
                <w:i w:val="false"/>
                <w:color w:val="000000"/>
                <w:sz w:val="20"/>
              </w:rPr>
              <w:t>
а) выводимых на информационных экранах (дисплеях), голосовых предупреждающих сообщений о неисправностях систем транспортного средства, опасности для жизни и здоровья людей, а также активации отдельных систем безопасности автомобиля;</w:t>
            </w:r>
          </w:p>
          <w:p>
            <w:pPr>
              <w:spacing w:after="20"/>
              <w:ind w:left="20"/>
              <w:jc w:val="both"/>
            </w:pPr>
            <w:r>
              <w:rPr>
                <w:rFonts w:ascii="Times New Roman"/>
                <w:b w:val="false"/>
                <w:i w:val="false"/>
                <w:color w:val="000000"/>
                <w:sz w:val="20"/>
              </w:rPr>
              <w:t>
б) надписей на табличках и наклейках на транспортном средстве, информирующих о порядке безопасного использования транспортного средства и его систем.</w:t>
            </w:r>
          </w:p>
          <w:p>
            <w:pPr>
              <w:spacing w:after="20"/>
              <w:ind w:left="20"/>
              <w:jc w:val="both"/>
            </w:pPr>
            <w:r>
              <w:rPr>
                <w:rFonts w:ascii="Times New Roman"/>
                <w:b w:val="false"/>
                <w:i w:val="false"/>
                <w:color w:val="000000"/>
                <w:sz w:val="20"/>
              </w:rPr>
              <w:t>
При условии соответствующего перевода и разъяснения в руководстве (инструкции) по эксплуатации транспортного средства указанное требование не применяется в отношении:</w:t>
            </w:r>
          </w:p>
          <w:p>
            <w:pPr>
              <w:spacing w:after="20"/>
              <w:ind w:left="20"/>
              <w:jc w:val="both"/>
            </w:pPr>
            <w:r>
              <w:rPr>
                <w:rFonts w:ascii="Times New Roman"/>
                <w:b w:val="false"/>
                <w:i w:val="false"/>
                <w:color w:val="000000"/>
                <w:sz w:val="20"/>
              </w:rPr>
              <w:t>
а) сообщений информационных экранов (дисплеев) аудио-, видео-, игровых и мультимедийных систем;</w:t>
            </w:r>
          </w:p>
          <w:p>
            <w:pPr>
              <w:spacing w:after="20"/>
              <w:ind w:left="20"/>
              <w:jc w:val="both"/>
            </w:pPr>
            <w:r>
              <w:rPr>
                <w:rFonts w:ascii="Times New Roman"/>
                <w:b w:val="false"/>
                <w:i w:val="false"/>
                <w:color w:val="000000"/>
                <w:sz w:val="20"/>
              </w:rPr>
              <w:t>
б) аббревиатур;</w:t>
            </w:r>
          </w:p>
          <w:p>
            <w:pPr>
              <w:spacing w:after="20"/>
              <w:ind w:left="20"/>
              <w:jc w:val="both"/>
            </w:pPr>
            <w:r>
              <w:rPr>
                <w:rFonts w:ascii="Times New Roman"/>
                <w:b w:val="false"/>
                <w:i w:val="false"/>
                <w:color w:val="000000"/>
                <w:sz w:val="20"/>
              </w:rPr>
              <w:t>
в) надписей, нанесенных на органы управления и конструктивные элементы транспортного средства;</w:t>
            </w:r>
          </w:p>
          <w:p>
            <w:pPr>
              <w:spacing w:after="20"/>
              <w:ind w:left="20"/>
              <w:jc w:val="both"/>
            </w:pPr>
            <w:r>
              <w:rPr>
                <w:rFonts w:ascii="Times New Roman"/>
                <w:b w:val="false"/>
                <w:i w:val="false"/>
                <w:color w:val="000000"/>
                <w:sz w:val="20"/>
              </w:rPr>
              <w:t>
г) единиц измерения;</w:t>
            </w:r>
          </w:p>
          <w:p>
            <w:pPr>
              <w:spacing w:after="20"/>
              <w:ind w:left="20"/>
              <w:jc w:val="both"/>
            </w:pPr>
            <w:r>
              <w:rPr>
                <w:rFonts w:ascii="Times New Roman"/>
                <w:b w:val="false"/>
                <w:i w:val="false"/>
                <w:color w:val="000000"/>
                <w:sz w:val="20"/>
              </w:rPr>
              <w:t>
д) названий фирм, фирменных наименований транспортных средств, применяемых на них систем и компонентов транспортных средств;</w:t>
            </w:r>
          </w:p>
          <w:p>
            <w:pPr>
              <w:spacing w:after="20"/>
              <w:ind w:left="20"/>
              <w:jc w:val="both"/>
            </w:pPr>
            <w:r>
              <w:rPr>
                <w:rFonts w:ascii="Times New Roman"/>
                <w:b w:val="false"/>
                <w:i w:val="false"/>
                <w:color w:val="000000"/>
                <w:sz w:val="20"/>
              </w:rPr>
              <w:t>
е) маркировок официальных утверждений типа;</w:t>
            </w:r>
          </w:p>
          <w:p>
            <w:pPr>
              <w:spacing w:after="20"/>
              <w:ind w:left="20"/>
              <w:jc w:val="both"/>
            </w:pPr>
            <w:r>
              <w:rPr>
                <w:rFonts w:ascii="Times New Roman"/>
                <w:b w:val="false"/>
                <w:i w:val="false"/>
                <w:color w:val="000000"/>
                <w:sz w:val="20"/>
              </w:rPr>
              <w:t>
ж) сообщений и надписей, специально предназначенных для работников сервисных станций.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реализация требований безопасности обеспечивается:</w:t>
            </w:r>
          </w:p>
          <w:p>
            <w:pPr>
              <w:spacing w:after="20"/>
              <w:ind w:left="20"/>
              <w:jc w:val="both"/>
            </w:pPr>
            <w:r>
              <w:rPr>
                <w:rFonts w:ascii="Times New Roman"/>
                <w:b w:val="false"/>
                <w:i w:val="false"/>
                <w:color w:val="000000"/>
                <w:sz w:val="20"/>
              </w:rPr>
              <w:t>
1) в отношении типов выпускаемых в обращение транспортных средств (шасси) при проведении оценки соответствия в форме одобрения типа;</w:t>
            </w:r>
          </w:p>
          <w:p>
            <w:pPr>
              <w:spacing w:after="20"/>
              <w:ind w:left="20"/>
              <w:jc w:val="both"/>
            </w:pPr>
            <w:r>
              <w:rPr>
                <w:rFonts w:ascii="Times New Roman"/>
                <w:b w:val="false"/>
                <w:i w:val="false"/>
                <w:color w:val="000000"/>
                <w:sz w:val="20"/>
              </w:rPr>
              <w:t>
2) в отношении выпускаемых в обращение единичных транспортных средств;</w:t>
            </w:r>
          </w:p>
          <w:p>
            <w:pPr>
              <w:spacing w:after="20"/>
              <w:ind w:left="20"/>
              <w:jc w:val="both"/>
            </w:pPr>
            <w:r>
              <w:rPr>
                <w:rFonts w:ascii="Times New Roman"/>
                <w:b w:val="false"/>
                <w:i w:val="false"/>
                <w:color w:val="000000"/>
                <w:sz w:val="20"/>
              </w:rPr>
              <w:t>
3) в отношении габаритных и весовых ограничений выпускаемых в обращение транспортных средств;</w:t>
            </w:r>
          </w:p>
          <w:p>
            <w:pPr>
              <w:spacing w:after="20"/>
              <w:ind w:left="20"/>
              <w:jc w:val="both"/>
            </w:pPr>
            <w:r>
              <w:rPr>
                <w:rFonts w:ascii="Times New Roman"/>
                <w:b w:val="false"/>
                <w:i w:val="false"/>
                <w:color w:val="000000"/>
                <w:sz w:val="20"/>
              </w:rPr>
              <w:t>
4) в отношении выпускаемых в обращение специальных и специализированных транспортных средств с учетом их функционального назначения;</w:t>
            </w:r>
          </w:p>
          <w:p>
            <w:pPr>
              <w:spacing w:after="20"/>
              <w:ind w:left="20"/>
              <w:jc w:val="both"/>
            </w:pPr>
            <w:r>
              <w:rPr>
                <w:rFonts w:ascii="Times New Roman"/>
                <w:b w:val="false"/>
                <w:i w:val="false"/>
                <w:color w:val="000000"/>
                <w:sz w:val="20"/>
              </w:rPr>
              <w:t>
5) в отношении находящихся в эксплуатации транспортных средств;</w:t>
            </w:r>
          </w:p>
          <w:p>
            <w:pPr>
              <w:spacing w:after="20"/>
              <w:ind w:left="20"/>
              <w:jc w:val="both"/>
            </w:pPr>
            <w:r>
              <w:rPr>
                <w:rFonts w:ascii="Times New Roman"/>
                <w:b w:val="false"/>
                <w:i w:val="false"/>
                <w:color w:val="000000"/>
                <w:sz w:val="20"/>
              </w:rPr>
              <w:t>
6) в отношении находящихся в эксплуатации транспортных средств при внесении изменений в их конструкцию.</w:t>
            </w:r>
          </w:p>
          <w:p>
            <w:pPr>
              <w:spacing w:after="20"/>
              <w:ind w:left="20"/>
              <w:jc w:val="both"/>
            </w:pPr>
            <w:r>
              <w:rPr>
                <w:rFonts w:ascii="Times New Roman"/>
                <w:b w:val="false"/>
                <w:i w:val="false"/>
                <w:color w:val="000000"/>
                <w:sz w:val="20"/>
              </w:rPr>
              <w:t>
К инновационным транспортным средствам требования безопасности устанавливаются решением уполномоченного органа по техническому регулированию государства – члена Евразийского экономического союза, в котором проводится оценка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транспортных средств категорий М и N и двигателей внутреннего сгорания для них экологическим классам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транспортном средстве индивидуального идентификационного номера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запрещается выпуск в обращение транспортных средств с правосторонним расположением рулевого управления категорий М2 и М3.</w:t>
            </w:r>
          </w:p>
          <w:p>
            <w:pPr>
              <w:spacing w:after="20"/>
              <w:ind w:left="20"/>
              <w:jc w:val="both"/>
            </w:pPr>
            <w:r>
              <w:rPr>
                <w:rFonts w:ascii="Times New Roman"/>
                <w:b w:val="false"/>
                <w:i w:val="false"/>
                <w:color w:val="000000"/>
                <w:sz w:val="20"/>
              </w:rPr>
              <w:t>
В республике Армения, Республике Беларусь и Республике Казахстан запрещается выпуск в обращение транспортных средств с правосторонним расположением рулевого управления, относящихся к другим категориям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компоненты, выпускаемые в обращение как сменные (запасные) части для находящихся в эксплуатации транспортных средств, при установке на транспортное средство не снижают уровень его безопасности по отношению к уровню на момент выпуска транспортного средства в обращение.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предъявляемые к компонентам, являющимся сменными (запасными) частями к транспортным средствам, производство которых прекращено, сохраняются на уровне, действовавшем на момент окончания производства таких транспортных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техническое средство разработано и изготовлено таким образом, чтобы при применении его по назначению и выполнении требований к монтажу, эксплуатации (использованию), хранению, перевозке (транспортированию) и техническому обслуживанию в соответствии нижеследующему:</w:t>
            </w:r>
          </w:p>
          <w:p>
            <w:pPr>
              <w:spacing w:after="20"/>
              <w:ind w:left="20"/>
              <w:jc w:val="both"/>
            </w:pPr>
            <w:r>
              <w:rPr>
                <w:rFonts w:ascii="Times New Roman"/>
                <w:b w:val="false"/>
                <w:i w:val="false"/>
                <w:color w:val="000000"/>
                <w:sz w:val="20"/>
              </w:rPr>
              <w:t>
1) электромагнитные помехи, создаваемые техническим средством, не превышали уровня, обеспечивающего функционирование средств связи и технических средств в соответствии с их назначением;</w:t>
            </w:r>
          </w:p>
          <w:p>
            <w:pPr>
              <w:spacing w:after="20"/>
              <w:ind w:left="20"/>
              <w:jc w:val="both"/>
            </w:pPr>
            <w:r>
              <w:rPr>
                <w:rFonts w:ascii="Times New Roman"/>
                <w:b w:val="false"/>
                <w:i w:val="false"/>
                <w:color w:val="000000"/>
                <w:sz w:val="20"/>
              </w:rPr>
              <w:t>
техническое средство имело уровень устойчивости к электромагнитным помехам (помехоустойчивости), обеспечивающий его функционирование в электромагнитной обстановке, для применения в которой оно предназначено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при котором наименование, обозначение технического средства (тип, марка, модель – при наличии), его основные параметры и характеристики, наименование, товарный знак изготовителя, наименование страны, где изготовлено техническое средство, нанесены на техническое средство и указаны в прилагаемых к нему эксплуатационных документах.</w:t>
            </w:r>
          </w:p>
          <w:p>
            <w:pPr>
              <w:spacing w:after="20"/>
              <w:ind w:left="20"/>
              <w:jc w:val="both"/>
            </w:pPr>
            <w:r>
              <w:rPr>
                <w:rFonts w:ascii="Times New Roman"/>
                <w:b w:val="false"/>
                <w:i w:val="false"/>
                <w:color w:val="000000"/>
                <w:sz w:val="20"/>
              </w:rPr>
              <w:t>
2) При этом наименование изготовителя, его товарный знак, наименование и обозначение технического средства (тип, марка, модель - при наличии) также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согласно которого если сведения о техническом средстве невозможно нанести на это техническое средство, эти сведения указываются только в прилагаемых к данному техническому средству эксплуатационных документах. При этом наименование изготовителя, его товарный знак, наименование и обозначение технического средства (тип, марка, модель – при наличии)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на наличие разборчивой маркировки технического средства, легко читаемой и нанесенной на техническое средство в доступном для осмотра без разборки с применением инструмента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электромагнитной совместимости технического средства на наличие эксплуатационных документов выполненных на русском языке и на государственном языке государства - члена Евразийского экономического союза,</w:t>
            </w:r>
          </w:p>
          <w:p>
            <w:pPr>
              <w:spacing w:after="20"/>
              <w:ind w:left="20"/>
              <w:jc w:val="both"/>
            </w:pPr>
            <w:r>
              <w:rPr>
                <w:rFonts w:ascii="Times New Roman"/>
                <w:b w:val="false"/>
                <w:i w:val="false"/>
                <w:color w:val="000000"/>
                <w:sz w:val="20"/>
              </w:rPr>
              <w:t>
с выполнением эксплуатационных документов на бумажных носителях. К ним может быть приложен комплект эксплуатационных документов на электронных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прохождению оценки соответствия, при котором технические характеристики маломерных судов, выпущенных в обращение на единой таможенной территории Евразийского экономического союза, соответствуют заявленным техническим характеристикам и показателям, приведенным в сопроводительной технической документации строителя маломерного судна. </w:t>
            </w:r>
          </w:p>
          <w:p>
            <w:pPr>
              <w:spacing w:after="20"/>
              <w:ind w:left="20"/>
              <w:jc w:val="both"/>
            </w:pPr>
            <w:r>
              <w:rPr>
                <w:rFonts w:ascii="Times New Roman"/>
                <w:b w:val="false"/>
                <w:i w:val="false"/>
                <w:color w:val="000000"/>
                <w:sz w:val="20"/>
              </w:rPr>
              <w:t>
Показатели безопасности маломерных судов не снижаются под воздействием внешних климатических и механических факторов, допускаемых условиями нормальной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на каждом маломерном судне строителем маломерного судна установлена и закреплена маркировочная табличка, которая содержит следующую информацию: </w:t>
            </w:r>
          </w:p>
          <w:p>
            <w:pPr>
              <w:spacing w:after="20"/>
              <w:ind w:left="20"/>
              <w:jc w:val="both"/>
            </w:pPr>
            <w:r>
              <w:rPr>
                <w:rFonts w:ascii="Times New Roman"/>
                <w:b w:val="false"/>
                <w:i w:val="false"/>
                <w:color w:val="000000"/>
                <w:sz w:val="20"/>
              </w:rPr>
              <w:t xml:space="preserve">
1) наименование, местоположение (включая юридический адрес и страну) и фирменный знак организации – строителя маломерного судна или изготовителя; </w:t>
            </w:r>
          </w:p>
          <w:p>
            <w:pPr>
              <w:spacing w:after="20"/>
              <w:ind w:left="20"/>
              <w:jc w:val="both"/>
            </w:pPr>
            <w:r>
              <w:rPr>
                <w:rFonts w:ascii="Times New Roman"/>
                <w:b w:val="false"/>
                <w:i w:val="false"/>
                <w:color w:val="000000"/>
                <w:sz w:val="20"/>
              </w:rPr>
              <w:t xml:space="preserve">
2) идентификационный номер по системе учета строителя маломерного судна; </w:t>
            </w:r>
          </w:p>
          <w:p>
            <w:pPr>
              <w:spacing w:after="20"/>
              <w:ind w:left="20"/>
              <w:jc w:val="both"/>
            </w:pPr>
            <w:r>
              <w:rPr>
                <w:rFonts w:ascii="Times New Roman"/>
                <w:b w:val="false"/>
                <w:i w:val="false"/>
                <w:color w:val="000000"/>
                <w:sz w:val="20"/>
              </w:rPr>
              <w:t xml:space="preserve">
3) дату постройки маломерного судна; </w:t>
            </w:r>
          </w:p>
          <w:p>
            <w:pPr>
              <w:spacing w:after="20"/>
              <w:ind w:left="20"/>
              <w:jc w:val="both"/>
            </w:pPr>
            <w:r>
              <w:rPr>
                <w:rFonts w:ascii="Times New Roman"/>
                <w:b w:val="false"/>
                <w:i w:val="false"/>
                <w:color w:val="000000"/>
                <w:sz w:val="20"/>
              </w:rPr>
              <w:t xml:space="preserve">
4) тип маломерного судна; </w:t>
            </w:r>
          </w:p>
          <w:p>
            <w:pPr>
              <w:spacing w:after="20"/>
              <w:ind w:left="20"/>
              <w:jc w:val="both"/>
            </w:pPr>
            <w:r>
              <w:rPr>
                <w:rFonts w:ascii="Times New Roman"/>
                <w:b w:val="false"/>
                <w:i w:val="false"/>
                <w:color w:val="000000"/>
                <w:sz w:val="20"/>
              </w:rPr>
              <w:t xml:space="preserve">
5) номер (обозначение) проекта (при его наличии); </w:t>
            </w:r>
          </w:p>
          <w:p>
            <w:pPr>
              <w:spacing w:after="20"/>
              <w:ind w:left="20"/>
              <w:jc w:val="both"/>
            </w:pPr>
            <w:r>
              <w:rPr>
                <w:rFonts w:ascii="Times New Roman"/>
                <w:b w:val="false"/>
                <w:i w:val="false"/>
                <w:color w:val="000000"/>
                <w:sz w:val="20"/>
              </w:rPr>
              <w:t xml:space="preserve">
6) максимальные грузоподъемность или количество людей на борту; </w:t>
            </w:r>
          </w:p>
          <w:p>
            <w:pPr>
              <w:spacing w:after="20"/>
              <w:ind w:left="20"/>
              <w:jc w:val="both"/>
            </w:pPr>
            <w:r>
              <w:rPr>
                <w:rFonts w:ascii="Times New Roman"/>
                <w:b w:val="false"/>
                <w:i w:val="false"/>
                <w:color w:val="000000"/>
                <w:sz w:val="20"/>
              </w:rPr>
              <w:t xml:space="preserve">
7) максимальная мощность двигателей (для маломерных самоходных судов); </w:t>
            </w:r>
          </w:p>
          <w:p>
            <w:pPr>
              <w:spacing w:after="20"/>
              <w:ind w:left="20"/>
              <w:jc w:val="both"/>
            </w:pPr>
            <w:r>
              <w:rPr>
                <w:rFonts w:ascii="Times New Roman"/>
                <w:b w:val="false"/>
                <w:i w:val="false"/>
                <w:color w:val="000000"/>
                <w:sz w:val="20"/>
              </w:rPr>
              <w:t xml:space="preserve">
8) максимальная скорость движения (для маломерных самоходных судов); </w:t>
            </w:r>
          </w:p>
          <w:p>
            <w:pPr>
              <w:spacing w:after="20"/>
              <w:ind w:left="20"/>
              <w:jc w:val="both"/>
            </w:pPr>
            <w:r>
              <w:rPr>
                <w:rFonts w:ascii="Times New Roman"/>
                <w:b w:val="false"/>
                <w:i w:val="false"/>
                <w:color w:val="000000"/>
                <w:sz w:val="20"/>
              </w:rPr>
              <w:t>
9) срок службы (при установлении).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требования безопасности к маломерным судам устанавливаются в зависимости от категорий сложности района плавания, в котором предполагается их эксплуатация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маломерных судов и их конструктивных элементов прочности и остойчивости, позволяющей выдерживать нагрузки, которым они подвергаются в спецификационных (предусмотренных при проектировании) условиях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долговечности материалов, применяемых для изготовления корпусов маломерных судов, деталей и узлов их технических средств срокам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размеры и взаимное расположение его элементов обеспечивают: </w:t>
            </w:r>
          </w:p>
          <w:p>
            <w:pPr>
              <w:spacing w:after="20"/>
              <w:ind w:left="20"/>
              <w:jc w:val="both"/>
            </w:pPr>
            <w:r>
              <w:rPr>
                <w:rFonts w:ascii="Times New Roman"/>
                <w:b w:val="false"/>
                <w:i w:val="false"/>
                <w:color w:val="000000"/>
                <w:sz w:val="20"/>
              </w:rPr>
              <w:t>
1) прочность и водонепроницаемость;</w:t>
            </w:r>
          </w:p>
          <w:p>
            <w:pPr>
              <w:spacing w:after="20"/>
              <w:ind w:left="20"/>
              <w:jc w:val="both"/>
            </w:pPr>
            <w:r>
              <w:rPr>
                <w:rFonts w:ascii="Times New Roman"/>
                <w:b w:val="false"/>
                <w:i w:val="false"/>
                <w:color w:val="000000"/>
                <w:sz w:val="20"/>
              </w:rPr>
              <w:t>
2) остойчивость маломерного судна;</w:t>
            </w:r>
          </w:p>
          <w:p>
            <w:pPr>
              <w:spacing w:after="20"/>
              <w:ind w:left="20"/>
              <w:jc w:val="both"/>
            </w:pPr>
            <w:r>
              <w:rPr>
                <w:rFonts w:ascii="Times New Roman"/>
                <w:b w:val="false"/>
                <w:i w:val="false"/>
                <w:color w:val="000000"/>
                <w:sz w:val="20"/>
              </w:rPr>
              <w:t>
3) надежность и безопасность технической эксплуатации корпусных конструкций;</w:t>
            </w:r>
          </w:p>
          <w:p>
            <w:pPr>
              <w:spacing w:after="20"/>
              <w:ind w:left="20"/>
              <w:jc w:val="both"/>
            </w:pPr>
            <w:r>
              <w:rPr>
                <w:rFonts w:ascii="Times New Roman"/>
                <w:b w:val="false"/>
                <w:i w:val="false"/>
                <w:color w:val="000000"/>
                <w:sz w:val="20"/>
              </w:rPr>
              <w:t>
4) расположение и установку судовых технических средств, обеспечивающие их безопасную эксплуатацию и обслуживание;</w:t>
            </w:r>
          </w:p>
          <w:p>
            <w:pPr>
              <w:spacing w:after="20"/>
              <w:ind w:left="20"/>
              <w:jc w:val="both"/>
            </w:pPr>
            <w:r>
              <w:rPr>
                <w:rFonts w:ascii="Times New Roman"/>
                <w:b w:val="false"/>
                <w:i w:val="false"/>
                <w:color w:val="000000"/>
                <w:sz w:val="20"/>
              </w:rPr>
              <w:t>
предотвращение загрязнения окружающей среды при эксплуатации и минимизацию загрязнения окружающей среды при авариях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маломерных судов остойчивости и непотопляемости при нагрузках, соответствующих спецификационным условиям их эксплуатации, предусмотренных проектами на маломерные суда.</w:t>
            </w:r>
          </w:p>
          <w:p>
            <w:pPr>
              <w:spacing w:after="20"/>
              <w:ind w:left="20"/>
              <w:jc w:val="both"/>
            </w:pPr>
            <w:r>
              <w:rPr>
                <w:rFonts w:ascii="Times New Roman"/>
                <w:b w:val="false"/>
                <w:i w:val="false"/>
                <w:color w:val="000000"/>
                <w:sz w:val="20"/>
              </w:rPr>
              <w:t>
5) Во всех местах постоянного и временного пребывания людей, а также в местах прохождения людей предусмотрены меры по предотвращению скольжения, падения с высоты и за борт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корпуса и надстройки маломерного судна прочности и устойчивости, позволяющими выдерживать нагрузки, которым маломерные суда подвергаются в спецификационных (предусмотренных при проектировании) условиях эксплуатации, чтобы обеспечить безопасность находящихся на маломерном судне людей и сохранность грузов при его эксплуатации. Корпус маломерного судна может быть изготовлен как из одного, так и из композиции нескольких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корпуса маломерного судна, изготовленного из металла, дерева и стеклопластика, рассчитанного для плавания в районах IV категории сложности 1 – 3 разрядов, предусматривает наличие набора, для маломерных судов, рассчитанных для плавания в районах IV категории сложности 4 – 5 разрядов, – допускается безнаборная конструкция. </w:t>
            </w:r>
          </w:p>
          <w:p>
            <w:pPr>
              <w:spacing w:after="20"/>
              <w:ind w:left="20"/>
              <w:jc w:val="both"/>
            </w:pPr>
            <w:r>
              <w:rPr>
                <w:rFonts w:ascii="Times New Roman"/>
                <w:b w:val="false"/>
                <w:i w:val="false"/>
                <w:color w:val="000000"/>
                <w:sz w:val="20"/>
              </w:rPr>
              <w:t xml:space="preserve">
Конструкция корпуса маломерного судна, изготовленного из водонепроницаемых тканей, для надувных маломерных судов, рассчитанных для плавания в районах IV категорий сложности 1 разряда, предусматривать наличие жесткого днища. </w:t>
            </w:r>
          </w:p>
          <w:p>
            <w:pPr>
              <w:spacing w:after="20"/>
              <w:ind w:left="20"/>
              <w:jc w:val="both"/>
            </w:pPr>
            <w:r>
              <w:rPr>
                <w:rFonts w:ascii="Times New Roman"/>
                <w:b w:val="false"/>
                <w:i w:val="false"/>
                <w:color w:val="000000"/>
                <w:sz w:val="20"/>
              </w:rPr>
              <w:t>
Материалы, применяемые при изготовлении маломерного судна, выбираться с учетом предусмотренных условий эксплуатации, таких как температура, агрессивность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фундаменты маломерных судов под главные двигатели, вспомогательные механизмы и устройства маломерных судов обеспечивают их крепление в любых условиях обстановки в эксплуатационных районах плавания. </w:t>
            </w:r>
          </w:p>
          <w:p>
            <w:pPr>
              <w:spacing w:after="20"/>
              <w:ind w:left="20"/>
              <w:jc w:val="both"/>
            </w:pPr>
            <w:r>
              <w:rPr>
                <w:rFonts w:ascii="Times New Roman"/>
                <w:b w:val="false"/>
                <w:i w:val="false"/>
                <w:color w:val="000000"/>
                <w:sz w:val="20"/>
              </w:rPr>
              <w:t>
С высотой транцев или выносных кронштейнов глиссирующих маломерных судов с подвесными лодочными моторами не менее 380 миллиметров. При наличии подмоторной ниши (рецесса) – в ней предусматриваться шпигаты.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в соответствии с которым маломерные суда имеют рулевые устройства или иные средства управления маломерными судами, обеспечивающие им необходимую маневренность. </w:t>
            </w:r>
          </w:p>
          <w:p>
            <w:pPr>
              <w:spacing w:after="20"/>
              <w:ind w:left="20"/>
              <w:jc w:val="both"/>
            </w:pPr>
            <w:r>
              <w:rPr>
                <w:rFonts w:ascii="Times New Roman"/>
                <w:b w:val="false"/>
                <w:i w:val="false"/>
                <w:color w:val="000000"/>
                <w:sz w:val="20"/>
              </w:rPr>
              <w:t xml:space="preserve">
Несамоходные и гребные маломерные суда указанными устройствами допускается не оборудовать. </w:t>
            </w:r>
          </w:p>
          <w:p>
            <w:pPr>
              <w:spacing w:after="20"/>
              <w:ind w:left="20"/>
              <w:jc w:val="both"/>
            </w:pPr>
            <w:r>
              <w:rPr>
                <w:rFonts w:ascii="Times New Roman"/>
                <w:b w:val="false"/>
                <w:i w:val="false"/>
                <w:color w:val="000000"/>
                <w:sz w:val="20"/>
              </w:rPr>
              <w:t xml:space="preserve">
При наличии на маломерных судах дистанционного рулевого управления предусматривать аварийный рулевой привод, воздействующий непосредственно на баллер, либо сектор рулевого устройства. </w:t>
            </w:r>
          </w:p>
          <w:p>
            <w:pPr>
              <w:spacing w:after="20"/>
              <w:ind w:left="20"/>
              <w:jc w:val="both"/>
            </w:pPr>
            <w:r>
              <w:rPr>
                <w:rFonts w:ascii="Times New Roman"/>
                <w:b w:val="false"/>
                <w:i w:val="false"/>
                <w:color w:val="000000"/>
                <w:sz w:val="20"/>
              </w:rPr>
              <w:t>
Самоходные маломерные суда с подвесными лодочными моторами мощностью 22,1 кВт и более оборудованы рулевым дистанционным управлением в соответствии с требованиями проектанта (строителя)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швартовых устройств, обеспечивающих их надежное закрепление у причальных сооружений или бортов судов и возможность надежного крепления буксирного каната (троса)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маломерных судах устройств, обеспечивающих безопасную буксировку этих судов другим судном при ветре и волнении в разрешенном для этого судна районе плавания. </w:t>
            </w:r>
          </w:p>
          <w:p>
            <w:pPr>
              <w:spacing w:after="20"/>
              <w:ind w:left="20"/>
              <w:jc w:val="both"/>
            </w:pPr>
            <w:r>
              <w:rPr>
                <w:rFonts w:ascii="Times New Roman"/>
                <w:b w:val="false"/>
                <w:i w:val="false"/>
                <w:color w:val="000000"/>
                <w:sz w:val="20"/>
              </w:rPr>
              <w:t xml:space="preserve">
Буксирное устройство маломерного судна обеспечивает буксировку аналогичных ему по водоизмещению или меньшего по тоннажу судна своими штатными средствами с помощью собственных движителей. </w:t>
            </w:r>
          </w:p>
          <w:p>
            <w:pPr>
              <w:spacing w:after="20"/>
              <w:ind w:left="20"/>
              <w:jc w:val="both"/>
            </w:pPr>
            <w:r>
              <w:rPr>
                <w:rFonts w:ascii="Times New Roman"/>
                <w:b w:val="false"/>
                <w:i w:val="false"/>
                <w:color w:val="000000"/>
                <w:sz w:val="20"/>
              </w:rPr>
              <w:t>
Количество и номенклатура механизмов (изделий) буксирного устройства маломерного судна, а также расположение их на маломерном судне определяется при его проектировании в соответствии с конструктивными особенностями корпуса, спецификой его палубного оборудования и назначением маломерного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маломерные суда спроектированы и построены так, чтобы с учетом типа, назначения маломерных судов и условий их эксплуатации минимизировать риск падения человека за борт и обеспечить его поднятие из воды на борт. </w:t>
            </w:r>
          </w:p>
          <w:p>
            <w:pPr>
              <w:spacing w:after="20"/>
              <w:ind w:left="20"/>
              <w:jc w:val="both"/>
            </w:pPr>
            <w:r>
              <w:rPr>
                <w:rFonts w:ascii="Times New Roman"/>
                <w:b w:val="false"/>
                <w:i w:val="false"/>
                <w:color w:val="000000"/>
                <w:sz w:val="20"/>
              </w:rPr>
              <w:t>
Для защиты пассажиров и экипажа от опасности падения за борт на маломерных судах предусматриваются ограждения (фальшборт или леерное устройство), поручни, переходные мостики, сходные трапы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механической установкой маломерного судна бесперебойной эксплуатации во всех режимах, при допустимых для данной категории маломерных судов кренах и дифферентах, а мощность двигателя соответствовать расчетной мощности для данного типа маломерного судна, предусмотренной проектной документацией. </w:t>
            </w:r>
          </w:p>
          <w:p>
            <w:pPr>
              <w:spacing w:after="20"/>
              <w:ind w:left="20"/>
              <w:jc w:val="both"/>
            </w:pPr>
            <w:r>
              <w:rPr>
                <w:rFonts w:ascii="Times New Roman"/>
                <w:b w:val="false"/>
                <w:i w:val="false"/>
                <w:color w:val="000000"/>
                <w:sz w:val="20"/>
              </w:rPr>
              <w:t>
Моторные маломерные суда спроектированы так, чтобы отработанные газы двигателей содержали не более 4,8 % окиси углерода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конструкцией и расположением пусковых и реверсивных устройств маломерного судна возможности пуска и реверсирования каждого механизма одним человеком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место установки емкости для хранения газового топлива маломерного судна, предназначенного для работы главного двигателя, располагается на открытой палубе или в газопроницаемых отсеках, устроенных таким образом, чтобы при любой утечке газ уходил за борт. Крепление емкости исключать ее отрыв или перемещение при плавании в максимально возможных штормовых условиях для разрешенного маломерному судну района плавания. </w:t>
            </w:r>
          </w:p>
          <w:p>
            <w:pPr>
              <w:spacing w:after="20"/>
              <w:ind w:left="20"/>
              <w:jc w:val="both"/>
            </w:pPr>
            <w:r>
              <w:rPr>
                <w:rFonts w:ascii="Times New Roman"/>
                <w:b w:val="false"/>
                <w:i w:val="false"/>
                <w:color w:val="000000"/>
                <w:sz w:val="20"/>
              </w:rPr>
              <w:t>
Трубопроводы для подачи газа к двигателю обеспечивать герметичность во всех допустимых режимах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топливные танки маломерного судна, трубопроводы и шланги удалены и защищены от любого воздействия источников теплового излучения. Материал и конструкция танков соответствовать их требуемой емкости и типу топлива. Все топливные танки иметь надежную систему вентиляции, исключающую образование взрывоопасной воздушной смеси. </w:t>
            </w:r>
          </w:p>
          <w:p>
            <w:pPr>
              <w:spacing w:after="20"/>
              <w:ind w:left="20"/>
              <w:jc w:val="both"/>
            </w:pPr>
            <w:r>
              <w:rPr>
                <w:rFonts w:ascii="Times New Roman"/>
                <w:b w:val="false"/>
                <w:i w:val="false"/>
                <w:color w:val="000000"/>
                <w:sz w:val="20"/>
              </w:rPr>
              <w:t xml:space="preserve">
Жидкое топливо с точкой возгорания ниже 600С храниться в танках, которые не образуют общей части с корпусом судна (переносные) и быть: </w:t>
            </w:r>
          </w:p>
          <w:p>
            <w:pPr>
              <w:spacing w:after="20"/>
              <w:ind w:left="20"/>
              <w:jc w:val="both"/>
            </w:pPr>
            <w:r>
              <w:rPr>
                <w:rFonts w:ascii="Times New Roman"/>
                <w:b w:val="false"/>
                <w:i w:val="false"/>
                <w:color w:val="000000"/>
                <w:sz w:val="20"/>
              </w:rPr>
              <w:t xml:space="preserve">
1) защищены от воздействия источников теплового излучения; </w:t>
            </w:r>
          </w:p>
          <w:p>
            <w:pPr>
              <w:spacing w:after="20"/>
              <w:ind w:left="20"/>
              <w:jc w:val="both"/>
            </w:pPr>
            <w:r>
              <w:rPr>
                <w:rFonts w:ascii="Times New Roman"/>
                <w:b w:val="false"/>
                <w:i w:val="false"/>
                <w:color w:val="000000"/>
                <w:sz w:val="20"/>
              </w:rPr>
              <w:t>
2) отделены от жилых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нормы по внешней шумовой характеристике моторного маломерного судна эксплуатируемого в полосе на расстоянии менее 500 м от берега: уровень звука которого, для не скоростных маломерных судов не более 75 дБА, скоростных (скоростными маломерными судами считаются со скоростью свыше 40 км/час) - 78 дБА, с замерами внешней шумовой характеристики на расстоянии 25 метров от плоскости борта маломерного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допустимой мощности двигателей (стационарных и подвесных), устанавливаемых на моторных маломерных судах, проектной документации проектанта (строителя маломерного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осушительной системы (осушительных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санитарно-бытовых и жилых помещений маломерных судов санитарно-эпидемиологическим требованиям. </w:t>
            </w:r>
          </w:p>
          <w:p>
            <w:pPr>
              <w:spacing w:after="20"/>
              <w:ind w:left="20"/>
              <w:jc w:val="both"/>
            </w:pPr>
            <w:r>
              <w:rPr>
                <w:rFonts w:ascii="Times New Roman"/>
                <w:b w:val="false"/>
                <w:i w:val="false"/>
                <w:color w:val="000000"/>
                <w:sz w:val="20"/>
              </w:rPr>
              <w:t>
На маломерных судах, имеющих санитарно-бытовые помещения, предусматривается фановая система для сбора и удаления с маломерного судна сточных и фекальных вод, включающая в себя санитарное оборудование, необходимые трубопроводы (с гидравлическим затвором) и цистерну или съемные контейнеры для сбора сточных и фекальных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системой водоснабжения (при ее наличии) потребности допустимого количества людей на борту в питьевой 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моторных маломерных судах укомплектованных противопожарных оборудований и имущества с учетом возможных причин возникновения пожаров. </w:t>
            </w:r>
          </w:p>
          <w:p>
            <w:pPr>
              <w:spacing w:after="20"/>
              <w:ind w:left="20"/>
              <w:jc w:val="both"/>
            </w:pPr>
            <w:r>
              <w:rPr>
                <w:rFonts w:ascii="Times New Roman"/>
                <w:b w:val="false"/>
                <w:i w:val="false"/>
                <w:color w:val="000000"/>
                <w:sz w:val="20"/>
              </w:rPr>
              <w:t xml:space="preserve">
Противопожарная система (средства борьбы с огнем) обеспечивает подачу огнегасителя под защитные кожуха двигателей без открытия или демонтажа защитных кожухов. </w:t>
            </w:r>
          </w:p>
          <w:p>
            <w:pPr>
              <w:spacing w:after="20"/>
              <w:ind w:left="20"/>
              <w:jc w:val="both"/>
            </w:pPr>
            <w:r>
              <w:rPr>
                <w:rFonts w:ascii="Times New Roman"/>
                <w:b w:val="false"/>
                <w:i w:val="false"/>
                <w:color w:val="000000"/>
                <w:sz w:val="20"/>
              </w:rPr>
              <w:t>
Противопожарное имущество размещаться в доступных, предназначенных для этих целей местах с нанесением соответствующей маркировки. Возле поста управления размещаться не менее одного огнетушителя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палубных маломерных судах естественной (принудительной) вентиляции машинных помещений и выгородок для размещения топливных баков (цистерн). </w:t>
            </w:r>
          </w:p>
          <w:p>
            <w:pPr>
              <w:spacing w:after="20"/>
              <w:ind w:left="20"/>
              <w:jc w:val="both"/>
            </w:pPr>
            <w:r>
              <w:rPr>
                <w:rFonts w:ascii="Times New Roman"/>
                <w:b w:val="false"/>
                <w:i w:val="false"/>
                <w:color w:val="000000"/>
                <w:sz w:val="20"/>
              </w:rPr>
              <w:t>
Закрытые машинные помещения с вентиляцией, обеспечивающие удаление скопившихся топливных паров до пуска двигателя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электрическое оборудование маломерного судна (если оно предусмотрено) надежно защищено от механических повреждений в процессе его эксплуатации, от воздействия внешней среды и быть безопасным в эксплуатации. </w:t>
            </w:r>
          </w:p>
          <w:p>
            <w:pPr>
              <w:spacing w:after="20"/>
              <w:ind w:left="20"/>
              <w:jc w:val="both"/>
            </w:pPr>
            <w:r>
              <w:rPr>
                <w:rFonts w:ascii="Times New Roman"/>
                <w:b w:val="false"/>
                <w:i w:val="false"/>
                <w:color w:val="000000"/>
                <w:sz w:val="20"/>
              </w:rPr>
              <w:t xml:space="preserve">
Обеспечить защиту всех электрических цепей от перегрузок и коротких замыканий. </w:t>
            </w:r>
          </w:p>
          <w:p>
            <w:pPr>
              <w:spacing w:after="20"/>
              <w:ind w:left="20"/>
              <w:jc w:val="both"/>
            </w:pPr>
            <w:r>
              <w:rPr>
                <w:rFonts w:ascii="Times New Roman"/>
                <w:b w:val="false"/>
                <w:i w:val="false"/>
                <w:color w:val="000000"/>
                <w:sz w:val="20"/>
              </w:rPr>
              <w:t xml:space="preserve">
Для предупреждения аккумуляции газов, выделяемых аккумуляторными батареями, обеспечена их вентиляция. На маломерном судне аккумуляторные батареи установлены в безопасном и защищенном от попадания воды месте. Пожароопасное и взрывоопасное оборудование сконструировано и расположено на судне таким образом, чтобы минимизировать риск возникновения пожара. </w:t>
            </w:r>
          </w:p>
          <w:p>
            <w:pPr>
              <w:spacing w:after="20"/>
              <w:ind w:left="20"/>
              <w:jc w:val="both"/>
            </w:pPr>
            <w:r>
              <w:rPr>
                <w:rFonts w:ascii="Times New Roman"/>
                <w:b w:val="false"/>
                <w:i w:val="false"/>
                <w:color w:val="000000"/>
                <w:sz w:val="20"/>
              </w:rPr>
              <w:t xml:space="preserve">
Конструкция пожароопасного и взрывоопасного оборудования и его расположение на судне направлены на предотвращение возникновения и распространения пожара, особое внимание обращается на: оборудование с открытым пламенем; нагревающимся поверхностям; двигателям и вспомогательным установкам; переливу топлива и масла; незакрытым топливным и масляным трубопроводам. </w:t>
            </w:r>
          </w:p>
          <w:p>
            <w:pPr>
              <w:spacing w:after="20"/>
              <w:ind w:left="20"/>
              <w:jc w:val="both"/>
            </w:pPr>
            <w:r>
              <w:rPr>
                <w:rFonts w:ascii="Times New Roman"/>
                <w:b w:val="false"/>
                <w:i w:val="false"/>
                <w:color w:val="000000"/>
                <w:sz w:val="20"/>
              </w:rPr>
              <w:t>
Запрещается прокладывать электрическую проводку над нагревающимися частями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всех стационарных двигателях маломерных судов защитных кожухов с отделением от жилых помещений судна, чтобы минимизировать риск возникновения и распространения пожара, а также исключить несчастные случаи с людьми в результате: отравления токсичными выхлопными газами и дымом, воздействия теплового излучения нагретых поверхностей, шума и вибрации на людей в жилых помещениях. </w:t>
            </w:r>
          </w:p>
          <w:p>
            <w:pPr>
              <w:spacing w:after="20"/>
              <w:ind w:left="20"/>
              <w:jc w:val="both"/>
            </w:pPr>
            <w:r>
              <w:rPr>
                <w:rFonts w:ascii="Times New Roman"/>
                <w:b w:val="false"/>
                <w:i w:val="false"/>
                <w:color w:val="000000"/>
                <w:sz w:val="20"/>
              </w:rPr>
              <w:t xml:space="preserve">
Элементы двигателя маломерного судна, требующие частого осмотра и технического обслуживания легко доступны, изоляционные материалы внутри машинного отсека негорючими. </w:t>
            </w:r>
          </w:p>
          <w:p>
            <w:pPr>
              <w:spacing w:after="20"/>
              <w:ind w:left="20"/>
              <w:jc w:val="both"/>
            </w:pPr>
            <w:r>
              <w:rPr>
                <w:rFonts w:ascii="Times New Roman"/>
                <w:b w:val="false"/>
                <w:i w:val="false"/>
                <w:color w:val="000000"/>
                <w:sz w:val="20"/>
              </w:rPr>
              <w:t xml:space="preserve">
Наружные раскаленные или движущиеся части стационарного двигателя, нагреваемые выше 600С, надежно прикрыты кожухом (крышкой), чтобы не причинять вреда персоналу. </w:t>
            </w:r>
          </w:p>
          <w:p>
            <w:pPr>
              <w:spacing w:after="20"/>
              <w:ind w:left="20"/>
              <w:jc w:val="both"/>
            </w:pPr>
            <w:r>
              <w:rPr>
                <w:rFonts w:ascii="Times New Roman"/>
                <w:b w:val="false"/>
                <w:i w:val="false"/>
                <w:color w:val="000000"/>
                <w:sz w:val="20"/>
              </w:rPr>
              <w:t>
Устройства для заправки, хранения, вентиляции и подачи топлива разработаны таким образом, чтобы свести к минимуму риск возникновения пожара и взрыва на судне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средств связи и навигации.</w:t>
            </w:r>
          </w:p>
          <w:p>
            <w:pPr>
              <w:spacing w:after="20"/>
              <w:ind w:left="20"/>
              <w:jc w:val="both"/>
            </w:pPr>
            <w:r>
              <w:rPr>
                <w:rFonts w:ascii="Times New Roman"/>
                <w:b w:val="false"/>
                <w:i w:val="false"/>
                <w:color w:val="000000"/>
                <w:sz w:val="20"/>
              </w:rPr>
              <w:t>
Судовое навигационное оборудование и навигационное снабжение непрерывно обеспечивать судоводителя достоверной информацией о местоположении, курсе и скорости судна, а также информацией, позволяющей безопасно управлять маломерным судом в предписанных районах и условиях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оборудованных средствами связи и навигации для энергопитания радиооборудования, не менее двух источников электрической энергии: основного и резервного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при котором конструкция маломерных судов, используемых в морских районах 0 – III категорий сложности районов плавания, предусматривает возможность установки аппаратуры спутниковой навигации (в том числе - ГЛОНАСС или ГЛОНАСС совместно с GPS) и ее функционирование. </w:t>
            </w:r>
          </w:p>
          <w:p>
            <w:pPr>
              <w:spacing w:after="20"/>
              <w:ind w:left="20"/>
              <w:jc w:val="both"/>
            </w:pPr>
            <w:r>
              <w:rPr>
                <w:rFonts w:ascii="Times New Roman"/>
                <w:b w:val="false"/>
                <w:i w:val="false"/>
                <w:color w:val="000000"/>
                <w:sz w:val="20"/>
              </w:rPr>
              <w:t xml:space="preserve">
Все маломерные суда, используемые в морских районах 0 – IV категорий сложности районов плавания, иметь средства связи, обеспечивающие передачу и прием информации по безопасности на море, включая прогнозы погоды, волнения моря и ледовой обстановки, навигационные рекомендации по безопасному плаванию маломерного судна, штормовые предупреждения и оповещения. </w:t>
            </w:r>
          </w:p>
          <w:p>
            <w:pPr>
              <w:spacing w:after="20"/>
              <w:ind w:left="20"/>
              <w:jc w:val="both"/>
            </w:pPr>
            <w:r>
              <w:rPr>
                <w:rFonts w:ascii="Times New Roman"/>
                <w:b w:val="false"/>
                <w:i w:val="false"/>
                <w:color w:val="000000"/>
                <w:sz w:val="20"/>
              </w:rPr>
              <w:t>
Радиоаппаратура маломерного судна изготовлена в водозащищенном исполнении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используемых в морских районах плавания, магнитного компаса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спроектированных на эксплуатацию на внутренних судоходных путях в условиях ограниченной видимости (менее 1000 метров) и в ночное время независимо от района их эксплуатации, радиолокационной станции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маломерных судах спасательных и сигнальных средств в зависимости от категории маломерного судна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проектант подготавливает, а строитель маломерного судна снабжает каждое маломерное судно эксплуатационной документацией, в состав которой помимо чертежей (общего расположения конструкций, необходимых в эксплуатации чертежей), схем (противопожарных систем, изоляции, покрытия, расположения, снабжения, спасательных средств, электрических соединений, радиоэлектронных средств, навигационного оборудования, автоматики, сигнализации и аварийной защиты схем) и руководств (инструкций) по эксплуатации технических средств маломерных судов входит информация о посадке и остойчивости, непотопляемости маломерного судна, сведения о маневренных характеристиках, схема и инструкция по борьбе за живучесть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взрывчатые вещества, изделия на их основе технической документации. </w:t>
            </w:r>
          </w:p>
          <w:p>
            <w:pPr>
              <w:spacing w:after="20"/>
              <w:ind w:left="20"/>
              <w:jc w:val="both"/>
            </w:pPr>
            <w:r>
              <w:rPr>
                <w:rFonts w:ascii="Times New Roman"/>
                <w:b w:val="false"/>
                <w:i w:val="false"/>
                <w:color w:val="000000"/>
                <w:sz w:val="20"/>
              </w:rPr>
              <w:t>
В технической документации на взрывчатые вещества и изделия на их основе указаны характеристики, влияющие на их безопасность (при изготовлении, хранении, транспортировании (перевозке), применении), требования к упаковке и таре, приведена информация о маркировке взрывчатого вещества, а также указаны показатели, по которым осуществляется входной контроль потребителем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руководства (инструкции) по применению взрывчатых веществ следующей информации:</w:t>
            </w:r>
          </w:p>
          <w:p>
            <w:pPr>
              <w:spacing w:after="20"/>
              <w:ind w:left="20"/>
              <w:jc w:val="both"/>
            </w:pPr>
            <w:r>
              <w:rPr>
                <w:rFonts w:ascii="Times New Roman"/>
                <w:b w:val="false"/>
                <w:i w:val="false"/>
                <w:color w:val="000000"/>
                <w:sz w:val="20"/>
              </w:rPr>
              <w:t>
1) наименование и условное обозначение взрывчатых веществ и изделий на их основе;</w:t>
            </w:r>
          </w:p>
          <w:p>
            <w:pPr>
              <w:spacing w:after="20"/>
              <w:ind w:left="20"/>
              <w:jc w:val="both"/>
            </w:pPr>
            <w:r>
              <w:rPr>
                <w:rFonts w:ascii="Times New Roman"/>
                <w:b w:val="false"/>
                <w:i w:val="false"/>
                <w:color w:val="000000"/>
                <w:sz w:val="20"/>
              </w:rPr>
              <w:t>
2) назначение и область применения;</w:t>
            </w:r>
          </w:p>
          <w:p>
            <w:pPr>
              <w:spacing w:after="20"/>
              <w:ind w:left="20"/>
              <w:jc w:val="both"/>
            </w:pPr>
            <w:r>
              <w:rPr>
                <w:rFonts w:ascii="Times New Roman"/>
                <w:b w:val="false"/>
                <w:i w:val="false"/>
                <w:color w:val="000000"/>
                <w:sz w:val="20"/>
              </w:rPr>
              <w:t>
3) комплектность поставки;</w:t>
            </w:r>
          </w:p>
          <w:p>
            <w:pPr>
              <w:spacing w:after="20"/>
              <w:ind w:left="20"/>
              <w:jc w:val="both"/>
            </w:pPr>
            <w:r>
              <w:rPr>
                <w:rFonts w:ascii="Times New Roman"/>
                <w:b w:val="false"/>
                <w:i w:val="false"/>
                <w:color w:val="000000"/>
                <w:sz w:val="20"/>
              </w:rPr>
              <w:t>
4) технические показатели, определяющие потребительские свойства взрывчатых веществ и изделий на их основе (отдельно контролируемые и неконтролируемые показатели);</w:t>
            </w:r>
          </w:p>
          <w:p>
            <w:pPr>
              <w:spacing w:after="20"/>
              <w:ind w:left="20"/>
              <w:jc w:val="both"/>
            </w:pPr>
            <w:r>
              <w:rPr>
                <w:rFonts w:ascii="Times New Roman"/>
                <w:b w:val="false"/>
                <w:i w:val="false"/>
                <w:color w:val="000000"/>
                <w:sz w:val="20"/>
              </w:rPr>
              <w:t>
5) показатели пожаровзрывоопасности и электростатической опасности;</w:t>
            </w:r>
          </w:p>
          <w:p>
            <w:pPr>
              <w:spacing w:after="20"/>
              <w:ind w:left="20"/>
              <w:jc w:val="both"/>
            </w:pPr>
            <w:r>
              <w:rPr>
                <w:rFonts w:ascii="Times New Roman"/>
                <w:b w:val="false"/>
                <w:i w:val="false"/>
                <w:color w:val="000000"/>
                <w:sz w:val="20"/>
              </w:rPr>
              <w:t>
6) описание упаковки и (при необходимости) порядок ее вскрытия и уничтожения (или возврата) после применения;</w:t>
            </w:r>
          </w:p>
          <w:p>
            <w:pPr>
              <w:spacing w:after="20"/>
              <w:ind w:left="20"/>
              <w:jc w:val="both"/>
            </w:pPr>
            <w:r>
              <w:rPr>
                <w:rFonts w:ascii="Times New Roman"/>
                <w:b w:val="false"/>
                <w:i w:val="false"/>
                <w:color w:val="000000"/>
                <w:sz w:val="20"/>
              </w:rPr>
              <w:t>
7) указание класса опасности груза и группы совместимости;</w:t>
            </w:r>
          </w:p>
          <w:p>
            <w:pPr>
              <w:spacing w:after="20"/>
              <w:ind w:left="20"/>
              <w:jc w:val="both"/>
            </w:pPr>
            <w:r>
              <w:rPr>
                <w:rFonts w:ascii="Times New Roman"/>
                <w:b w:val="false"/>
                <w:i w:val="false"/>
                <w:color w:val="000000"/>
                <w:sz w:val="20"/>
              </w:rPr>
              <w:t>
8) применение механизированных операций на складах и на месте применения с указанием способа механизации;</w:t>
            </w:r>
          </w:p>
          <w:p>
            <w:pPr>
              <w:spacing w:after="20"/>
              <w:ind w:left="20"/>
              <w:jc w:val="both"/>
            </w:pPr>
            <w:r>
              <w:rPr>
                <w:rFonts w:ascii="Times New Roman"/>
                <w:b w:val="false"/>
                <w:i w:val="false"/>
                <w:color w:val="000000"/>
                <w:sz w:val="20"/>
              </w:rPr>
              <w:t>
9) порядок возврата неиспользованных взрывчатых веществ и изделий на их основе на склад;</w:t>
            </w:r>
          </w:p>
          <w:p>
            <w:pPr>
              <w:spacing w:after="20"/>
              <w:ind w:left="20"/>
              <w:jc w:val="both"/>
            </w:pPr>
            <w:r>
              <w:rPr>
                <w:rFonts w:ascii="Times New Roman"/>
                <w:b w:val="false"/>
                <w:i w:val="false"/>
                <w:color w:val="000000"/>
                <w:sz w:val="20"/>
              </w:rPr>
              <w:t>
10) требования безопасности при обращении с взрывчатыми веществами и изделиями на их основе (предельно допустимые концентрации вредных веществ в воздухе рабочей зоны, характер действия веществ на организм человека, меры и средства защиты от вредного воздействия, средства пожаротушения);</w:t>
            </w:r>
          </w:p>
          <w:p>
            <w:pPr>
              <w:spacing w:after="20"/>
              <w:ind w:left="20"/>
              <w:jc w:val="both"/>
            </w:pPr>
            <w:r>
              <w:rPr>
                <w:rFonts w:ascii="Times New Roman"/>
                <w:b w:val="false"/>
                <w:i w:val="false"/>
                <w:color w:val="000000"/>
                <w:sz w:val="20"/>
              </w:rPr>
              <w:t>
11) способ размещения взрывчатого вещества или изделия в шпуре или скважине;</w:t>
            </w:r>
          </w:p>
          <w:p>
            <w:pPr>
              <w:spacing w:after="20"/>
              <w:ind w:left="20"/>
              <w:jc w:val="both"/>
            </w:pPr>
            <w:r>
              <w:rPr>
                <w:rFonts w:ascii="Times New Roman"/>
                <w:b w:val="false"/>
                <w:i w:val="false"/>
                <w:color w:val="000000"/>
                <w:sz w:val="20"/>
              </w:rPr>
              <w:t>
12) способ инициирования;</w:t>
            </w:r>
          </w:p>
          <w:p>
            <w:pPr>
              <w:spacing w:after="20"/>
              <w:ind w:left="20"/>
              <w:jc w:val="both"/>
            </w:pPr>
            <w:r>
              <w:rPr>
                <w:rFonts w:ascii="Times New Roman"/>
                <w:b w:val="false"/>
                <w:i w:val="false"/>
                <w:color w:val="000000"/>
                <w:sz w:val="20"/>
              </w:rPr>
              <w:t>
13) характеристики взрывчатых веществ и изделий на их основе, проверяемые при поступлении на склад потребителя, и в период хранения на складе;</w:t>
            </w:r>
          </w:p>
          <w:p>
            <w:pPr>
              <w:spacing w:after="20"/>
              <w:ind w:left="20"/>
              <w:jc w:val="both"/>
            </w:pPr>
            <w:r>
              <w:rPr>
                <w:rFonts w:ascii="Times New Roman"/>
                <w:b w:val="false"/>
                <w:i w:val="false"/>
                <w:color w:val="000000"/>
                <w:sz w:val="20"/>
              </w:rPr>
              <w:t>
14) условия хранения, гарантийный срок хранения, меры, принимаемые после истечения гарантийного срока хранения, порядок и методы уничтожения;</w:t>
            </w:r>
          </w:p>
          <w:p>
            <w:pPr>
              <w:spacing w:after="20"/>
              <w:ind w:left="20"/>
              <w:jc w:val="both"/>
            </w:pPr>
            <w:r>
              <w:rPr>
                <w:rFonts w:ascii="Times New Roman"/>
                <w:b w:val="false"/>
                <w:i w:val="false"/>
                <w:color w:val="000000"/>
                <w:sz w:val="20"/>
              </w:rPr>
              <w:t>
15) требования к квалификации персонала;</w:t>
            </w:r>
          </w:p>
          <w:p>
            <w:pPr>
              <w:spacing w:after="20"/>
              <w:ind w:left="20"/>
              <w:jc w:val="both"/>
            </w:pPr>
            <w:r>
              <w:rPr>
                <w:rFonts w:ascii="Times New Roman"/>
                <w:b w:val="false"/>
                <w:i w:val="false"/>
                <w:color w:val="000000"/>
                <w:sz w:val="20"/>
              </w:rPr>
              <w:t>
16) порядок действия персонала при аварийных ситуациях;</w:t>
            </w:r>
          </w:p>
          <w:p>
            <w:pPr>
              <w:spacing w:after="20"/>
              <w:ind w:left="20"/>
              <w:jc w:val="both"/>
            </w:pPr>
            <w:r>
              <w:rPr>
                <w:rFonts w:ascii="Times New Roman"/>
                <w:b w:val="false"/>
                <w:i w:val="false"/>
                <w:color w:val="000000"/>
                <w:sz w:val="20"/>
              </w:rPr>
              <w:t>
порядок ликвидации отказов.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взрывчатых веществ перечню показателей, необходимых для оценки безопасности при их разработке по следующим показателям:</w:t>
            </w:r>
          </w:p>
          <w:p>
            <w:pPr>
              <w:spacing w:after="20"/>
              <w:ind w:left="20"/>
              <w:jc w:val="both"/>
            </w:pPr>
            <w:r>
              <w:rPr>
                <w:rFonts w:ascii="Times New Roman"/>
                <w:b w:val="false"/>
                <w:i w:val="false"/>
                <w:color w:val="000000"/>
                <w:sz w:val="20"/>
              </w:rPr>
              <w:t>
1) чувствительность к удару;</w:t>
            </w:r>
          </w:p>
          <w:p>
            <w:pPr>
              <w:spacing w:after="20"/>
              <w:ind w:left="20"/>
              <w:jc w:val="both"/>
            </w:pPr>
            <w:r>
              <w:rPr>
                <w:rFonts w:ascii="Times New Roman"/>
                <w:b w:val="false"/>
                <w:i w:val="false"/>
                <w:color w:val="000000"/>
                <w:sz w:val="20"/>
              </w:rPr>
              <w:t>
2) чувствительность к трению;</w:t>
            </w:r>
          </w:p>
          <w:p>
            <w:pPr>
              <w:spacing w:after="20"/>
              <w:ind w:left="20"/>
              <w:jc w:val="both"/>
            </w:pPr>
            <w:r>
              <w:rPr>
                <w:rFonts w:ascii="Times New Roman"/>
                <w:b w:val="false"/>
                <w:i w:val="false"/>
                <w:color w:val="000000"/>
                <w:sz w:val="20"/>
              </w:rPr>
              <w:t>
3) тротиловый эквивалент;</w:t>
            </w:r>
          </w:p>
          <w:p>
            <w:pPr>
              <w:spacing w:after="20"/>
              <w:ind w:left="20"/>
              <w:jc w:val="both"/>
            </w:pPr>
            <w:r>
              <w:rPr>
                <w:rFonts w:ascii="Times New Roman"/>
                <w:b w:val="false"/>
                <w:i w:val="false"/>
                <w:color w:val="000000"/>
                <w:sz w:val="20"/>
              </w:rPr>
              <w:t>
4) критический диаметр детонации;</w:t>
            </w:r>
          </w:p>
          <w:p>
            <w:pPr>
              <w:spacing w:after="20"/>
              <w:ind w:left="20"/>
              <w:jc w:val="both"/>
            </w:pPr>
            <w:r>
              <w:rPr>
                <w:rFonts w:ascii="Times New Roman"/>
                <w:b w:val="false"/>
                <w:i w:val="false"/>
                <w:color w:val="000000"/>
                <w:sz w:val="20"/>
              </w:rPr>
              <w:t>
5) минимальный инициирующий импульс;</w:t>
            </w:r>
          </w:p>
          <w:p>
            <w:pPr>
              <w:spacing w:after="20"/>
              <w:ind w:left="20"/>
              <w:jc w:val="both"/>
            </w:pPr>
            <w:r>
              <w:rPr>
                <w:rFonts w:ascii="Times New Roman"/>
                <w:b w:val="false"/>
                <w:i w:val="false"/>
                <w:color w:val="000000"/>
                <w:sz w:val="20"/>
              </w:rPr>
              <w:t>
6) термическая стойкость;</w:t>
            </w:r>
          </w:p>
          <w:p>
            <w:pPr>
              <w:spacing w:after="20"/>
              <w:ind w:left="20"/>
              <w:jc w:val="both"/>
            </w:pPr>
            <w:r>
              <w:rPr>
                <w:rFonts w:ascii="Times New Roman"/>
                <w:b w:val="false"/>
                <w:i w:val="false"/>
                <w:color w:val="000000"/>
                <w:sz w:val="20"/>
              </w:rPr>
              <w:t>
7) удельное объемное электрическое сопротивление (у водосодержащих взрывчатых веществ только для эмульсионных веществ);</w:t>
            </w:r>
          </w:p>
          <w:p>
            <w:pPr>
              <w:spacing w:after="20"/>
              <w:ind w:left="20"/>
              <w:jc w:val="both"/>
            </w:pPr>
            <w:r>
              <w:rPr>
                <w:rFonts w:ascii="Times New Roman"/>
                <w:b w:val="false"/>
                <w:i w:val="false"/>
                <w:color w:val="000000"/>
                <w:sz w:val="20"/>
              </w:rPr>
              <w:t>
8) объем вредных газов в продуктах взрыва;</w:t>
            </w:r>
          </w:p>
          <w:p>
            <w:pPr>
              <w:spacing w:after="20"/>
              <w:ind w:left="20"/>
              <w:jc w:val="both"/>
            </w:pPr>
            <w:r>
              <w:rPr>
                <w:rFonts w:ascii="Times New Roman"/>
                <w:b w:val="false"/>
                <w:i w:val="false"/>
                <w:color w:val="000000"/>
                <w:sz w:val="20"/>
              </w:rPr>
              <w:t>
9) критическая плотность;</w:t>
            </w:r>
          </w:p>
          <w:p>
            <w:pPr>
              <w:spacing w:after="20"/>
              <w:ind w:left="20"/>
              <w:jc w:val="both"/>
            </w:pPr>
            <w:r>
              <w:rPr>
                <w:rFonts w:ascii="Times New Roman"/>
                <w:b w:val="false"/>
                <w:i w:val="false"/>
                <w:color w:val="000000"/>
                <w:sz w:val="20"/>
              </w:rPr>
              <w:t>
10) совместимость с конструкционными материалами;</w:t>
            </w:r>
          </w:p>
          <w:p>
            <w:pPr>
              <w:spacing w:after="20"/>
              <w:ind w:left="20"/>
              <w:jc w:val="both"/>
            </w:pPr>
            <w:r>
              <w:rPr>
                <w:rFonts w:ascii="Times New Roman"/>
                <w:b w:val="false"/>
                <w:i w:val="false"/>
                <w:color w:val="000000"/>
                <w:sz w:val="20"/>
              </w:rPr>
              <w:t>
11) предохранительные свойства;</w:t>
            </w:r>
          </w:p>
          <w:p>
            <w:pPr>
              <w:spacing w:after="20"/>
              <w:ind w:left="20"/>
              <w:jc w:val="both"/>
            </w:pPr>
            <w:r>
              <w:rPr>
                <w:rFonts w:ascii="Times New Roman"/>
                <w:b w:val="false"/>
                <w:i w:val="false"/>
                <w:color w:val="000000"/>
                <w:sz w:val="20"/>
              </w:rPr>
              <w:t>
12) совместимость с агрессивными средами (для взрывчатых веществ, применяемых в сульфидных месторождениях);</w:t>
            </w:r>
          </w:p>
          <w:p>
            <w:pPr>
              <w:spacing w:after="20"/>
              <w:ind w:left="20"/>
              <w:jc w:val="both"/>
            </w:pPr>
            <w:r>
              <w:rPr>
                <w:rFonts w:ascii="Times New Roman"/>
                <w:b w:val="false"/>
                <w:i w:val="false"/>
                <w:color w:val="000000"/>
                <w:sz w:val="20"/>
              </w:rPr>
              <w:t>
17) водоустойчивость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не допускаются для применения взрывчатые вещества, по результатам испытаний которых на чувствительность к удару нижний предел составляет менее 100 мм, а при испытаниях на чувствительность к трению нижний предел менее 200 МПа;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взрывчатым веществам, при котором эмульсия нитрата аммония имеет плотность выше значения, при котором она может быть отнесена к классу 1 по методам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различные группы изделий на основе взрывчатых веществ при предусмотренных в технической документации условиях (изготовления, упаковки, транспортирования, хранения, применения) соответствуют нижеследующему:</w:t>
            </w:r>
          </w:p>
          <w:p>
            <w:pPr>
              <w:spacing w:after="20"/>
              <w:ind w:left="20"/>
              <w:jc w:val="both"/>
            </w:pPr>
            <w:r>
              <w:rPr>
                <w:rFonts w:ascii="Times New Roman"/>
                <w:b w:val="false"/>
                <w:i w:val="false"/>
                <w:color w:val="000000"/>
                <w:sz w:val="20"/>
              </w:rPr>
              <w:t>
1) исключать возможность преждевременного взрыва;</w:t>
            </w:r>
          </w:p>
          <w:p>
            <w:pPr>
              <w:spacing w:after="20"/>
              <w:ind w:left="20"/>
              <w:jc w:val="both"/>
            </w:pPr>
            <w:r>
              <w:rPr>
                <w:rFonts w:ascii="Times New Roman"/>
                <w:b w:val="false"/>
                <w:i w:val="false"/>
                <w:color w:val="000000"/>
                <w:sz w:val="20"/>
              </w:rPr>
              <w:t>
2) надежно детонировать от средств инициирования;</w:t>
            </w:r>
          </w:p>
          <w:p>
            <w:pPr>
              <w:spacing w:after="20"/>
              <w:ind w:left="20"/>
              <w:jc w:val="both"/>
            </w:pPr>
            <w:r>
              <w:rPr>
                <w:rFonts w:ascii="Times New Roman"/>
                <w:b w:val="false"/>
                <w:i w:val="false"/>
                <w:color w:val="000000"/>
                <w:sz w:val="20"/>
              </w:rPr>
              <w:t>
3) обеспечивать передачу детонации от изделия к изделию с учетом условий их размещения при применении;</w:t>
            </w:r>
          </w:p>
          <w:p>
            <w:pPr>
              <w:spacing w:after="20"/>
              <w:ind w:left="20"/>
              <w:jc w:val="both"/>
            </w:pPr>
            <w:r>
              <w:rPr>
                <w:rFonts w:ascii="Times New Roman"/>
                <w:b w:val="false"/>
                <w:i w:val="false"/>
                <w:color w:val="000000"/>
                <w:sz w:val="20"/>
              </w:rPr>
              <w:t>
4) обеспечивать достаточную прочность оболочки или корпуса, исключающую их повреждение при механических нагрузках;</w:t>
            </w:r>
          </w:p>
          <w:p>
            <w:pPr>
              <w:spacing w:after="20"/>
              <w:ind w:left="20"/>
              <w:jc w:val="both"/>
            </w:pPr>
            <w:r>
              <w:rPr>
                <w:rFonts w:ascii="Times New Roman"/>
                <w:b w:val="false"/>
                <w:i w:val="false"/>
                <w:color w:val="000000"/>
                <w:sz w:val="20"/>
              </w:rPr>
              <w:t>
5) обеспечивать требуемую водостойкость;</w:t>
            </w:r>
          </w:p>
          <w:p>
            <w:pPr>
              <w:spacing w:after="20"/>
              <w:ind w:left="20"/>
              <w:jc w:val="both"/>
            </w:pPr>
            <w:r>
              <w:rPr>
                <w:rFonts w:ascii="Times New Roman"/>
                <w:b w:val="false"/>
                <w:i w:val="false"/>
                <w:color w:val="000000"/>
                <w:sz w:val="20"/>
              </w:rPr>
              <w:t>
6) исключать инициирование взрыва взрывоопасной среды, если они разработаны и изготовлены для применения в ней;</w:t>
            </w:r>
          </w:p>
          <w:p>
            <w:pPr>
              <w:spacing w:after="20"/>
              <w:ind w:left="20"/>
              <w:jc w:val="both"/>
            </w:pPr>
            <w:r>
              <w:rPr>
                <w:rFonts w:ascii="Times New Roman"/>
                <w:b w:val="false"/>
                <w:i w:val="false"/>
                <w:color w:val="000000"/>
                <w:sz w:val="20"/>
              </w:rPr>
              <w:t>
7) обеспечивать сохранение нормируемых характеристик в интервале эксплуатационных температур;</w:t>
            </w:r>
          </w:p>
          <w:p>
            <w:pPr>
              <w:spacing w:after="20"/>
              <w:ind w:left="20"/>
              <w:jc w:val="both"/>
            </w:pPr>
            <w:r>
              <w:rPr>
                <w:rFonts w:ascii="Times New Roman"/>
                <w:b w:val="false"/>
                <w:i w:val="false"/>
                <w:color w:val="000000"/>
                <w:sz w:val="20"/>
              </w:rPr>
              <w:t>
8) обеспечивать сохранение нормируемых характеристик в течение гарантийного срока хранения;</w:t>
            </w:r>
          </w:p>
          <w:p>
            <w:pPr>
              <w:spacing w:after="20"/>
              <w:ind w:left="20"/>
              <w:jc w:val="both"/>
            </w:pPr>
            <w:r>
              <w:rPr>
                <w:rFonts w:ascii="Times New Roman"/>
                <w:b w:val="false"/>
                <w:i w:val="false"/>
                <w:color w:val="000000"/>
                <w:sz w:val="20"/>
              </w:rPr>
              <w:t>
9) обеспечивать стойкость к статическому электричеству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для электродетонаторов и волноводов взрывчатых веществ следующим характеристкам:</w:t>
            </w:r>
          </w:p>
          <w:p>
            <w:pPr>
              <w:spacing w:after="20"/>
              <w:ind w:left="20"/>
              <w:jc w:val="both"/>
            </w:pPr>
            <w:r>
              <w:rPr>
                <w:rFonts w:ascii="Times New Roman"/>
                <w:b w:val="false"/>
                <w:i w:val="false"/>
                <w:color w:val="000000"/>
                <w:sz w:val="20"/>
              </w:rPr>
              <w:t>
1) значение безопасного тока не менее 0,18 А;</w:t>
            </w:r>
          </w:p>
          <w:p>
            <w:pPr>
              <w:spacing w:after="20"/>
              <w:ind w:left="20"/>
              <w:jc w:val="both"/>
            </w:pPr>
            <w:r>
              <w:rPr>
                <w:rFonts w:ascii="Times New Roman"/>
                <w:b w:val="false"/>
                <w:i w:val="false"/>
                <w:color w:val="000000"/>
                <w:sz w:val="20"/>
              </w:rPr>
              <w:t>
2) длительный воспламеняющий ток не менее 0,22 А; безопасный импульс воспламенения не менее 0,6 А2.мс;</w:t>
            </w:r>
          </w:p>
          <w:p>
            <w:pPr>
              <w:spacing w:after="20"/>
              <w:ind w:left="20"/>
              <w:jc w:val="both"/>
            </w:pPr>
            <w:r>
              <w:rPr>
                <w:rFonts w:ascii="Times New Roman"/>
                <w:b w:val="false"/>
                <w:i w:val="false"/>
                <w:color w:val="000000"/>
                <w:sz w:val="20"/>
              </w:rPr>
              <w:t>
3) волноводы (ударные трубки) неэлектрических систем инициирования не возбуждать детонацию боковой поверхностью контактирующих с ней взрывчатых веществ и средств инициирования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методов контроля для показателей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изготавливаются при наличии разрешения на постоянное применение, выданного одним из уполномоченных органов в области промышленной безопасности государства – члена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взрывчатые вещества и изделия на их основе обладают техническими характеристиками, чтобы гарантировать их максимально возможную степень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изготовление взрывчатых веществ и изделий на их основе осуществляется в соответствии с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 технологическом регламенте предусмотрены показатели, которые необходимо проверять при входном контроле компонентов и сырья, используемых для изготовления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выпускаемых взрывчатых веществ и изделий на их основе, указаны в технологическом регламенте, конструкторской документации с точностью, обеспечивающей воспроизводимость их характеристик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параметры технологических процессов, влияющие на нормируемые характеристики изготавливаемых взрывчатых веществ и изделий на их основе, документированы при их изготовлении. Срок хранения документированных записей не меньше гарантийного срока хранения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изготовитель взрывчатых веществ и изделий на их основе проводит необходимые испытания (измерения), предусмотренные технической документацией на эти взрывчатые вещества и изделия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организация технологических процессов исключает возможность попадания в готовые взрывчатые вещества и изделия на их основе веществ, предметов, влияющих на их свойства, безопасность при их перевозке (транспортировании), хранении, применении, а также исключает возможность смешения бракованных взрывчатых веществ и изделий на их основе, отходов производства с готовыми взрывчатыми веществами и изделиями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прочной упаковки, полностью исключающей утечку или просыпание взрывчатых веществ или выпадение изделий, обеспечивающую их сохранность и безопасность в процессе перевозки (транспортирования) всеми видами транспорта в любых климатических условиях, в том числе при погрузочно-разгрузочных работах, а также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взрывчатых вещества и изделий на их основе с истекшим гарантийным сроком хранения без испытаний, предусмотренных технической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перевозки (транспортирования) взрывчатых веществ и изделий на их основе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при хранении взрывчатых веществ и изделий на их основе следующим условиям:</w:t>
            </w:r>
          </w:p>
          <w:p>
            <w:pPr>
              <w:spacing w:after="20"/>
              <w:ind w:left="20"/>
              <w:jc w:val="both"/>
            </w:pPr>
            <w:r>
              <w:rPr>
                <w:rFonts w:ascii="Times New Roman"/>
                <w:b w:val="false"/>
                <w:i w:val="false"/>
                <w:color w:val="000000"/>
                <w:sz w:val="20"/>
              </w:rPr>
              <w:t>
1) условия хранения исключают влияние окружающей среды на характеристики взрывчатых веществ и изделий на их основе и соответствуют требованиям нормативной, технической документации, в том числе руководству (инструкции) по применению;</w:t>
            </w:r>
          </w:p>
          <w:p>
            <w:pPr>
              <w:spacing w:after="20"/>
              <w:ind w:left="20"/>
              <w:jc w:val="both"/>
            </w:pPr>
            <w:r>
              <w:rPr>
                <w:rFonts w:ascii="Times New Roman"/>
                <w:b w:val="false"/>
                <w:i w:val="false"/>
                <w:color w:val="000000"/>
                <w:sz w:val="20"/>
              </w:rPr>
              <w:t>
2) взрывчатые вещества и изделия на их основе на складах размещены с учетом их совместимости при хранении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временное хранение на складах, пришедших в негодность и бракованных взрывчатых веществ и изделий на их основе, осуществляется только в специально выделенном месте, обозначенном предупредительной надписью "ВНИМАНИЕ БРАК". На упаковку с пришедшими в негодность и бракованными взрывчатыми веществами и изделиями на их основе крепится табличка с аналогичной надписью (аналогичная надпись наносится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применения и уничтожение взрывчатых веществ и изделий на их основе при несоответствии показателей, полученных в результате испытаний, показателям, указанным в технической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продукции и продуктов, полученных в результате переработки (утилизации) отработанной продукции (смазочные материалы, масла и специальные жидкости, полученные в результате переработки (утилизации) отработанной продукции), требованиям к характеристикам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продукции смазочных материалов, масел и специальных жидкостей при котором упакованная продукция содержит:</w:t>
            </w:r>
          </w:p>
          <w:p>
            <w:pPr>
              <w:spacing w:after="20"/>
              <w:ind w:left="20"/>
              <w:jc w:val="both"/>
            </w:pPr>
            <w:r>
              <w:rPr>
                <w:rFonts w:ascii="Times New Roman"/>
                <w:b w:val="false"/>
                <w:i w:val="false"/>
                <w:color w:val="000000"/>
                <w:sz w:val="20"/>
              </w:rPr>
              <w:t>
1) наименование и местонахождение (юридический адрес, включая страну) изготовителя, его товарный знак (при наличии);</w:t>
            </w:r>
          </w:p>
          <w:p>
            <w:pPr>
              <w:spacing w:after="20"/>
              <w:ind w:left="20"/>
              <w:jc w:val="both"/>
            </w:pPr>
            <w:r>
              <w:rPr>
                <w:rFonts w:ascii="Times New Roman"/>
                <w:b w:val="false"/>
                <w:i w:val="false"/>
                <w:color w:val="000000"/>
                <w:sz w:val="20"/>
              </w:rPr>
              <w:t>
2) наименование, обозначение марки и назначение продукции;</w:t>
            </w:r>
          </w:p>
          <w:p>
            <w:pPr>
              <w:spacing w:after="20"/>
              <w:ind w:left="20"/>
              <w:jc w:val="both"/>
            </w:pPr>
            <w:r>
              <w:rPr>
                <w:rFonts w:ascii="Times New Roman"/>
                <w:b w:val="false"/>
                <w:i w:val="false"/>
                <w:color w:val="000000"/>
                <w:sz w:val="20"/>
              </w:rPr>
              <w:t>
3) обозначение документа, в соответствии с которым производится (при наличии);</w:t>
            </w:r>
          </w:p>
          <w:p>
            <w:pPr>
              <w:spacing w:after="20"/>
              <w:ind w:left="20"/>
              <w:jc w:val="both"/>
            </w:pPr>
            <w:r>
              <w:rPr>
                <w:rFonts w:ascii="Times New Roman"/>
                <w:b w:val="false"/>
                <w:i w:val="false"/>
                <w:color w:val="000000"/>
                <w:sz w:val="20"/>
              </w:rPr>
              <w:t>
4) срок и условия хранения;</w:t>
            </w:r>
          </w:p>
          <w:p>
            <w:pPr>
              <w:spacing w:after="20"/>
              <w:ind w:left="20"/>
              <w:jc w:val="both"/>
            </w:pPr>
            <w:r>
              <w:rPr>
                <w:rFonts w:ascii="Times New Roman"/>
                <w:b w:val="false"/>
                <w:i w:val="false"/>
                <w:color w:val="000000"/>
                <w:sz w:val="20"/>
              </w:rPr>
              <w:t>
5) дата изготовления;</w:t>
            </w:r>
          </w:p>
          <w:p>
            <w:pPr>
              <w:spacing w:after="20"/>
              <w:ind w:left="20"/>
              <w:jc w:val="both"/>
            </w:pPr>
            <w:r>
              <w:rPr>
                <w:rFonts w:ascii="Times New Roman"/>
                <w:b w:val="false"/>
                <w:i w:val="false"/>
                <w:color w:val="000000"/>
                <w:sz w:val="20"/>
              </w:rPr>
              <w:t>
6) номер партии;</w:t>
            </w:r>
          </w:p>
          <w:p>
            <w:pPr>
              <w:spacing w:after="20"/>
              <w:ind w:left="20"/>
              <w:jc w:val="both"/>
            </w:pPr>
            <w:r>
              <w:rPr>
                <w:rFonts w:ascii="Times New Roman"/>
                <w:b w:val="false"/>
                <w:i w:val="false"/>
                <w:color w:val="000000"/>
                <w:sz w:val="20"/>
              </w:rPr>
              <w:t>
штриховой идентификационный код (при необходимости).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предупредительной маркировки продукции смазочных материалов, масел и специальных жидкостей, способная оказывать вредное воздействие на здоровье человека, окружающую среду, обладающая пожароопасными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смазочных материалов, масел и специальных жидкостей при котором маркировка изложена на официальном и государственном языке государства – члена Евразийского экономического союза, на территории которого данная продукция реализуется потребителю. Дополнительное использование иностранных языков допускается при условии полной идентичности содержания с текстом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смазочных материалов, масел и специальных жидкостей четкой и разборчивой маркировки, выполненной способом, обеспечивающим ее сохранность к упакованной продукции и воздействиям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продукции смазочных материалов, масел и специальных жидкостей в паспорте качества при поставке неупакованной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безопасности конструкции тракторов и прицепов на всех стадиях жизненного цикла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классификации тракторов и прицепов категориям и типам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категорий Т1, Т2, Т3, Т5, С (кроме С4) и прицепам категории R</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и методам их контроля предъявляемых к тракторам специального назначения категорий Т4, С4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безопасности, предъявляемым к тракторам и прицепам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перечню требований безопасности, предъявляемых к тракторам и прицепам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требований безопасности, предъявляемых к тракторам специального назначения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перечню компонентов тракторов или прицепов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таблички изготовителя трактора и классификация технически допустимых буксируемых масс, требованиям по размещению и содержанию необходимой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оборудования работающего под избыточным давлением, требованиям безопасности при разработке (проектировании), изготовлении (производстве), а также параметрам и характеристикам, установленным проектной документацией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безопасности в течение всего срока службы при выполнении потребителем мер по обеспечению его безопасности, установленных в технической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классификации по категориям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работающего под избыточным давлением, требованиям к отличительной окраске и идентификационной информации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оборудование работающего под избыточным давлением технической документации, в том числе паспорта оборудования, руководства по эксплуатации, документов обеспечивающих идентификацию для элементов (сборочных единиц, деталей) и комплектующих изделий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окраска в светло-серый цвет наружной поверхности автоцистерн для транспортировки сжиженных углеводородных газов. Нанесения на обе боковые стороны сосуда, отличительной полосы красного цвета шириной не менее 200 мм с надписью черного цвета над ней "Пропан – огнеопасно". На заднее днище сосуда наносится надпись черного цвета "огнеопасно"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сжиженного углеводородного газа, следующим требованиям к физико-химическим и эксплуатационным показателям сжиженных углеводородных газов:</w:t>
            </w:r>
          </w:p>
          <w:p>
            <w:pPr>
              <w:spacing w:after="20"/>
              <w:ind w:left="20"/>
              <w:jc w:val="both"/>
            </w:pPr>
            <w:r>
              <w:rPr>
                <w:rFonts w:ascii="Times New Roman"/>
                <w:b w:val="false"/>
                <w:i w:val="false"/>
                <w:color w:val="000000"/>
                <w:sz w:val="20"/>
              </w:rPr>
              <w:t>
1) октановое число;</w:t>
            </w:r>
          </w:p>
          <w:p>
            <w:pPr>
              <w:spacing w:after="20"/>
              <w:ind w:left="20"/>
              <w:jc w:val="both"/>
            </w:pPr>
            <w:r>
              <w:rPr>
                <w:rFonts w:ascii="Times New Roman"/>
                <w:b w:val="false"/>
                <w:i w:val="false"/>
                <w:color w:val="000000"/>
                <w:sz w:val="20"/>
              </w:rPr>
              <w:t>
2) массовая доля суммы непредельных углеводородов;</w:t>
            </w:r>
          </w:p>
          <w:p>
            <w:pPr>
              <w:spacing w:after="20"/>
              <w:ind w:left="20"/>
              <w:jc w:val="both"/>
            </w:pPr>
            <w:r>
              <w:rPr>
                <w:rFonts w:ascii="Times New Roman"/>
                <w:b w:val="false"/>
                <w:i w:val="false"/>
                <w:color w:val="000000"/>
                <w:sz w:val="20"/>
              </w:rPr>
              <w:t>
3) давление насыщенных паров, избыточное, Мпа, при температуре: плюс 45°С, минус 20°С;</w:t>
            </w:r>
          </w:p>
          <w:p>
            <w:pPr>
              <w:spacing w:after="20"/>
              <w:ind w:left="20"/>
              <w:jc w:val="both"/>
            </w:pPr>
            <w:r>
              <w:rPr>
                <w:rFonts w:ascii="Times New Roman"/>
                <w:b w:val="false"/>
                <w:i w:val="false"/>
                <w:color w:val="000000"/>
                <w:sz w:val="20"/>
              </w:rPr>
              <w:t>
4) массовая доля сероводорода и меркаптановой серы, в том числе сероводорода;</w:t>
            </w:r>
          </w:p>
          <w:p>
            <w:pPr>
              <w:spacing w:after="20"/>
              <w:ind w:left="20"/>
              <w:jc w:val="both"/>
            </w:pPr>
            <w:r>
              <w:rPr>
                <w:rFonts w:ascii="Times New Roman"/>
                <w:b w:val="false"/>
                <w:i w:val="false"/>
                <w:color w:val="000000"/>
                <w:sz w:val="20"/>
              </w:rPr>
              <w:t>
5) запах;</w:t>
            </w:r>
          </w:p>
          <w:p>
            <w:pPr>
              <w:spacing w:after="20"/>
              <w:ind w:left="20"/>
              <w:jc w:val="both"/>
            </w:pPr>
            <w:r>
              <w:rPr>
                <w:rFonts w:ascii="Times New Roman"/>
                <w:b w:val="false"/>
                <w:i w:val="false"/>
                <w:color w:val="000000"/>
                <w:sz w:val="20"/>
              </w:rPr>
              <w:t>
6) интенсивность запаха;</w:t>
            </w:r>
          </w:p>
          <w:p>
            <w:pPr>
              <w:spacing w:after="20"/>
              <w:ind w:left="20"/>
              <w:jc w:val="both"/>
            </w:pPr>
            <w:r>
              <w:rPr>
                <w:rFonts w:ascii="Times New Roman"/>
                <w:b w:val="false"/>
                <w:i w:val="false"/>
                <w:color w:val="000000"/>
                <w:sz w:val="20"/>
              </w:rPr>
              <w:t>
7) объемная доля жидкого остатка при плюс 20°С;</w:t>
            </w:r>
          </w:p>
          <w:p>
            <w:pPr>
              <w:spacing w:after="20"/>
              <w:ind w:left="20"/>
              <w:jc w:val="both"/>
            </w:pPr>
            <w:r>
              <w:rPr>
                <w:rFonts w:ascii="Times New Roman"/>
                <w:b w:val="false"/>
                <w:i w:val="false"/>
                <w:color w:val="000000"/>
                <w:sz w:val="20"/>
              </w:rPr>
              <w:t>
содержание свободной воды и щелочи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сопроводительных документов при перевозке сжиженных углеводородных газов содержащее следующее:</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таре, в которой перемещаются сжиженные углеводородные газы, соответствующей маркировки, содержащее следующее: </w:t>
            </w:r>
          </w:p>
          <w:p>
            <w:pPr>
              <w:spacing w:after="20"/>
              <w:ind w:left="20"/>
              <w:jc w:val="both"/>
            </w:pPr>
            <w:r>
              <w:rPr>
                <w:rFonts w:ascii="Times New Roman"/>
                <w:b w:val="false"/>
                <w:i w:val="false"/>
                <w:color w:val="000000"/>
                <w:sz w:val="20"/>
              </w:rPr>
              <w:t>
а) класс опасного груза;</w:t>
            </w:r>
          </w:p>
          <w:p>
            <w:pPr>
              <w:spacing w:after="20"/>
              <w:ind w:left="20"/>
              <w:jc w:val="both"/>
            </w:pPr>
            <w:r>
              <w:rPr>
                <w:rFonts w:ascii="Times New Roman"/>
                <w:b w:val="false"/>
                <w:i w:val="false"/>
                <w:color w:val="000000"/>
                <w:sz w:val="20"/>
              </w:rPr>
              <w:t>
б) код экстренных мер;</w:t>
            </w:r>
          </w:p>
          <w:p>
            <w:pPr>
              <w:spacing w:after="20"/>
              <w:ind w:left="20"/>
              <w:jc w:val="both"/>
            </w:pPr>
            <w:r>
              <w:rPr>
                <w:rFonts w:ascii="Times New Roman"/>
                <w:b w:val="false"/>
                <w:i w:val="false"/>
                <w:color w:val="000000"/>
                <w:sz w:val="20"/>
              </w:rPr>
              <w:t>
в) знаки опасности;</w:t>
            </w:r>
          </w:p>
          <w:p>
            <w:pPr>
              <w:spacing w:after="20"/>
              <w:ind w:left="20"/>
              <w:jc w:val="both"/>
            </w:pPr>
            <w:r>
              <w:rPr>
                <w:rFonts w:ascii="Times New Roman"/>
                <w:b w:val="false"/>
                <w:i w:val="false"/>
                <w:color w:val="000000"/>
                <w:sz w:val="20"/>
              </w:rPr>
              <w:t>
г) сведения о пожаровзрывоопасности;</w:t>
            </w:r>
          </w:p>
          <w:p>
            <w:pPr>
              <w:spacing w:after="20"/>
              <w:ind w:left="20"/>
              <w:jc w:val="both"/>
            </w:pPr>
            <w:r>
              <w:rPr>
                <w:rFonts w:ascii="Times New Roman"/>
                <w:b w:val="false"/>
                <w:i w:val="false"/>
                <w:color w:val="000000"/>
                <w:sz w:val="20"/>
              </w:rPr>
              <w:t>
д) сведения об опасности для живых организмов;</w:t>
            </w:r>
          </w:p>
          <w:p>
            <w:pPr>
              <w:spacing w:after="20"/>
              <w:ind w:left="20"/>
              <w:jc w:val="both"/>
            </w:pPr>
            <w:r>
              <w:rPr>
                <w:rFonts w:ascii="Times New Roman"/>
                <w:b w:val="false"/>
                <w:i w:val="false"/>
                <w:color w:val="000000"/>
                <w:sz w:val="20"/>
              </w:rPr>
              <w:t>
е) способы и средства обезвреживания;</w:t>
            </w:r>
          </w:p>
          <w:p>
            <w:pPr>
              <w:spacing w:after="20"/>
              <w:ind w:left="20"/>
              <w:jc w:val="both"/>
            </w:pPr>
            <w:r>
              <w:rPr>
                <w:rFonts w:ascii="Times New Roman"/>
                <w:b w:val="false"/>
                <w:i w:val="false"/>
                <w:color w:val="000000"/>
                <w:sz w:val="20"/>
              </w:rPr>
              <w:t>
ж) огнегасительные средства.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маркировки сжиженных углеводородных газов,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реализуются сжиженные углеводородные газы, за исключением наименования изготовителя и наименования сжиженных углеводородных газов, входящего в зарегистрированный товарный знак.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четкой и разборчивой маркировки сжиженных углеводородных газов, выполненной способом, обеспечивающим ее сохранность к воздействиям внешней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сжиженных углеводородных газов требованиям к физико-химическим и эксплуатационным показателям сжиженных углеводородных газов, при соблюдении условий хранения и перевозки обеспечением в течение всего периода обращения сжиженных углеводородных газов на территории Евразийского экономического союза, но не менее гарантийного срока хранения, установленного в документе, в соответствии с которым изготовлены сжиженные углеводородные газы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и изготовление изделия электротехники и радиоэлектроники таким образом, чтобы в его составе не содержалось:</w:t>
            </w:r>
          </w:p>
          <w:p>
            <w:pPr>
              <w:spacing w:after="20"/>
              <w:ind w:left="20"/>
              <w:jc w:val="both"/>
            </w:pPr>
            <w:r>
              <w:rPr>
                <w:rFonts w:ascii="Times New Roman"/>
                <w:b w:val="false"/>
                <w:i w:val="false"/>
                <w:color w:val="000000"/>
                <w:sz w:val="20"/>
              </w:rPr>
              <w:t>
1)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p>
            <w:pPr>
              <w:spacing w:after="20"/>
              <w:ind w:left="20"/>
              <w:jc w:val="both"/>
            </w:pPr>
            <w:r>
              <w:rPr>
                <w:rFonts w:ascii="Times New Roman"/>
                <w:b w:val="false"/>
                <w:i w:val="false"/>
                <w:color w:val="000000"/>
                <w:sz w:val="20"/>
              </w:rPr>
              <w:t>
однородных (гомогенных) материалов, содержащих опасные вещества в концентрации, превышающей допустимый уровень, опасных веществ, содержание которых в изделиях электротехники и радиоэлектроники с превышением допустимой концентрации в однородных (гомогенных) материалах, применяемых в конструкциях изделий электротехники и радиоэлектроники запрещено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ограничение применения опасных веществ в изделиях электротехники и радиоэлектроники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нанесение на изделия электротехники и радиоэлектроники наименования (обозначение) изделия электротехники и радиоэлектроники (тип, марка, модель (при наличии)), его основных параметров и характеристик, наименования и товарного знака изготовителя, наименования государства, в котором изготовлено изделие электротехники и радиоэлектроники, и указание в прилагаемых к нему эксплуатационных документах</w:t>
            </w:r>
          </w:p>
          <w:p>
            <w:pPr>
              <w:spacing w:after="20"/>
              <w:ind w:left="20"/>
              <w:jc w:val="both"/>
            </w:pPr>
            <w:r>
              <w:rPr>
                <w:rFonts w:ascii="Times New Roman"/>
                <w:b w:val="false"/>
                <w:i w:val="false"/>
                <w:color w:val="000000"/>
                <w:sz w:val="20"/>
              </w:rPr>
              <w:t>
При этом наименование и обозначение изделия электротехники и радиоэлектроники (тип, марка, модель (при наличии)), наименование и товарный знак изготовителя также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только в прилагаемых к данному изделию эксплуатационных документах, наименования (обозначение) изделия электротехники и радиоэлектроники (тип, марка, модель (при наличии)), его основных параметров и характеристики, наименования и товарного знака изготовителя, наименования государства, в котором изготовлено изделие электротехники и радиоэлектроники, при невозможности нанести на изделие электротехники и радиоэлектроники. При этом наименование (обозначение) изделия электротехники и радиоэлектроники (тип, марка, модель (при наличии)), наименование и товарный знак изготовителя нанесены на упаковку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изделиях электротехники и радиоэлектроники разборчивой, легко читаемой маркировки, нанесенной на изделие электротехники и радиоэлектроники в месте, доступном для осмотра без разборки с применением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эксплуатационных документах к изделию электротехники и радиоэлектроники следующей информации:</w:t>
            </w:r>
          </w:p>
          <w:p>
            <w:pPr>
              <w:spacing w:after="20"/>
              <w:ind w:left="20"/>
              <w:jc w:val="both"/>
            </w:pPr>
            <w:r>
              <w:rPr>
                <w:rFonts w:ascii="Times New Roman"/>
                <w:b w:val="false"/>
                <w:i w:val="false"/>
                <w:color w:val="000000"/>
                <w:sz w:val="20"/>
              </w:rPr>
              <w:t>
1) наименование (обозначение) изделия электротехники и радиоэлектроники (тип, марка, модель (при наличии)), его основные параметры и характеристики, наименование и товарный знак изготовителя, наименование государства, в котором изготовлено изделие электротехники и радиоэлектроники;</w:t>
            </w:r>
          </w:p>
          <w:p>
            <w:pPr>
              <w:spacing w:after="20"/>
              <w:ind w:left="20"/>
              <w:jc w:val="both"/>
            </w:pPr>
            <w:r>
              <w:rPr>
                <w:rFonts w:ascii="Times New Roman"/>
                <w:b w:val="false"/>
                <w:i w:val="false"/>
                <w:color w:val="000000"/>
                <w:sz w:val="20"/>
              </w:rPr>
              <w:t>
2) информацию о назначении изделия;</w:t>
            </w:r>
          </w:p>
          <w:p>
            <w:pPr>
              <w:spacing w:after="20"/>
              <w:ind w:left="20"/>
              <w:jc w:val="both"/>
            </w:pPr>
            <w:r>
              <w:rPr>
                <w:rFonts w:ascii="Times New Roman"/>
                <w:b w:val="false"/>
                <w:i w:val="false"/>
                <w:color w:val="000000"/>
                <w:sz w:val="20"/>
              </w:rPr>
              <w:t>
3) характеристики и параметры изделия;</w:t>
            </w:r>
          </w:p>
          <w:p>
            <w:pPr>
              <w:spacing w:after="20"/>
              <w:ind w:left="20"/>
              <w:jc w:val="both"/>
            </w:pPr>
            <w:r>
              <w:rPr>
                <w:rFonts w:ascii="Times New Roman"/>
                <w:b w:val="false"/>
                <w:i w:val="false"/>
                <w:color w:val="000000"/>
                <w:sz w:val="20"/>
              </w:rPr>
              <w:t>
4) правила и условия эксплуатации (использования), монтажа, хранения, перевозки (транспортирования), реализации и утилизации изделия (при необходимости – соответствующие требования);</w:t>
            </w:r>
          </w:p>
          <w:p>
            <w:pPr>
              <w:spacing w:after="20"/>
              <w:ind w:left="20"/>
              <w:jc w:val="both"/>
            </w:pPr>
            <w:r>
              <w:rPr>
                <w:rFonts w:ascii="Times New Roman"/>
                <w:b w:val="false"/>
                <w:i w:val="false"/>
                <w:color w:val="000000"/>
                <w:sz w:val="20"/>
              </w:rPr>
              <w:t>
5) информацию о мерах, которые следует принять при обнаружении неисправности изделия;</w:t>
            </w:r>
          </w:p>
          <w:p>
            <w:pPr>
              <w:spacing w:after="20"/>
              <w:ind w:left="20"/>
              <w:jc w:val="both"/>
            </w:pPr>
            <w:r>
              <w:rPr>
                <w:rFonts w:ascii="Times New Roman"/>
                <w:b w:val="false"/>
                <w:i w:val="false"/>
                <w:color w:val="000000"/>
                <w:sz w:val="20"/>
              </w:rPr>
              <w:t>
6) наименование и местонахождение изготовителя (уполномоченного изготовителем лица), импортера, их контактные данные;</w:t>
            </w:r>
          </w:p>
          <w:p>
            <w:pPr>
              <w:spacing w:after="20"/>
              <w:ind w:left="20"/>
              <w:jc w:val="both"/>
            </w:pPr>
            <w:r>
              <w:rPr>
                <w:rFonts w:ascii="Times New Roman"/>
                <w:b w:val="false"/>
                <w:i w:val="false"/>
                <w:color w:val="000000"/>
                <w:sz w:val="20"/>
              </w:rPr>
              <w:t>
информацию о месяце и годе изготовления изделия и о месте нанесения такой информации либо способе определения года изготовления.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изделии электротехники и радиоэлектроники маркировки и составление эксплуатационных документов на русском языке и при наличии соответствующих требований в законодательстве государств – членов Евразийского экономического союза – на государственном языке государства-члена, на территории которого реализуется продукция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оценки соответствия аттракционов в форме подтверждения соответствия, регистрации (постановки на учет) и оценки технического состояния (технического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применительно к аттракционам со степенью потенциально биомеханического риска RB-1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декларации соответствия применительно к аттракционам со степенями потенциальных биомеханических рисков RB-2, RB-3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сведений о декларации соответствия или о сертификате соответствия, включая срок их действия, в формуляре аттракциона или паспорте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перевозки и хранения аттракционов с учетом требований безопасности предусмотренных эксплуатационными документами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изделии и на эксплуатационных документах маркировки аттракционов единым знаком обращения продукции на рынке Евразийского экономического союза перед выпуском аттракционов в обращение на рынке Евразийского экономического союза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эксплуатационных документов, включающих в себя:</w:t>
            </w:r>
          </w:p>
          <w:p>
            <w:pPr>
              <w:spacing w:after="20"/>
              <w:ind w:left="20"/>
              <w:jc w:val="both"/>
            </w:pPr>
            <w:r>
              <w:rPr>
                <w:rFonts w:ascii="Times New Roman"/>
                <w:b w:val="false"/>
                <w:i w:val="false"/>
                <w:color w:val="000000"/>
                <w:sz w:val="20"/>
              </w:rPr>
              <w:t>
а) формуляр аттракциона или паспорт аттракциона;</w:t>
            </w:r>
          </w:p>
          <w:p>
            <w:pPr>
              <w:spacing w:after="20"/>
              <w:ind w:left="20"/>
              <w:jc w:val="both"/>
            </w:pPr>
            <w:r>
              <w:rPr>
                <w:rFonts w:ascii="Times New Roman"/>
                <w:b w:val="false"/>
                <w:i w:val="false"/>
                <w:color w:val="000000"/>
                <w:sz w:val="20"/>
              </w:rPr>
              <w:t>
б) руководство по эксплуатации аттракциона;</w:t>
            </w:r>
          </w:p>
          <w:p>
            <w:pPr>
              <w:spacing w:after="20"/>
              <w:ind w:left="20"/>
              <w:jc w:val="both"/>
            </w:pPr>
            <w:r>
              <w:rPr>
                <w:rFonts w:ascii="Times New Roman"/>
                <w:b w:val="false"/>
                <w:i w:val="false"/>
                <w:color w:val="000000"/>
                <w:sz w:val="20"/>
              </w:rPr>
              <w:t>
в) руководство по техническому обслуживанию и ремонту аттракциона;</w:t>
            </w:r>
          </w:p>
          <w:p>
            <w:pPr>
              <w:spacing w:after="20"/>
              <w:ind w:left="20"/>
              <w:jc w:val="both"/>
            </w:pPr>
            <w:r>
              <w:rPr>
                <w:rFonts w:ascii="Times New Roman"/>
                <w:b w:val="false"/>
                <w:i w:val="false"/>
                <w:color w:val="000000"/>
                <w:sz w:val="20"/>
              </w:rPr>
              <w:t>
г) ведомость запасных частей и принадлежностей;</w:t>
            </w:r>
          </w:p>
          <w:p>
            <w:pPr>
              <w:spacing w:after="20"/>
              <w:ind w:left="20"/>
              <w:jc w:val="both"/>
            </w:pPr>
            <w:r>
              <w:rPr>
                <w:rFonts w:ascii="Times New Roman"/>
                <w:b w:val="false"/>
                <w:i w:val="false"/>
                <w:color w:val="000000"/>
                <w:sz w:val="20"/>
              </w:rPr>
              <w:t>
д) инструкцию по монтажу (сборке, установке), пуску, регулированию и обкатке аттракциона;</w:t>
            </w:r>
          </w:p>
          <w:p>
            <w:pPr>
              <w:spacing w:after="20"/>
              <w:ind w:left="20"/>
              <w:jc w:val="both"/>
            </w:pPr>
            <w:r>
              <w:rPr>
                <w:rFonts w:ascii="Times New Roman"/>
                <w:b w:val="false"/>
                <w:i w:val="false"/>
                <w:color w:val="000000"/>
                <w:sz w:val="20"/>
              </w:rPr>
              <w:t>
е) инструкцию по перевозке и хранению аттракциона;</w:t>
            </w:r>
          </w:p>
          <w:p>
            <w:pPr>
              <w:spacing w:after="20"/>
              <w:ind w:left="20"/>
              <w:jc w:val="both"/>
            </w:pPr>
            <w:r>
              <w:rPr>
                <w:rFonts w:ascii="Times New Roman"/>
                <w:b w:val="false"/>
                <w:i w:val="false"/>
                <w:color w:val="000000"/>
                <w:sz w:val="20"/>
              </w:rPr>
              <w:t>
ж) инструкцию по выводу из эксплуатации и по утилизации аттракциона;</w:t>
            </w:r>
          </w:p>
          <w:p>
            <w:pPr>
              <w:spacing w:after="20"/>
              <w:ind w:left="20"/>
              <w:jc w:val="both"/>
            </w:pPr>
            <w:r>
              <w:rPr>
                <w:rFonts w:ascii="Times New Roman"/>
                <w:b w:val="false"/>
                <w:i w:val="false"/>
                <w:color w:val="000000"/>
                <w:sz w:val="20"/>
              </w:rPr>
              <w:t>
з) журналы учета эксплуатации и технического обслуживания аттракциона в соответствии с документами, предусмотренными подпунктами "б" и "в" настоящего пункта (с указанием сведений, обеспечивающих учет выполнения требований по эксплуатации и техническому обслуживанию)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эксплуатантом или уполномоченным им лицом аттракциона на участке, подходящем для этой цели, согласно указаниям, содержащимся в эксплуатационных документах с обеспечением следующих условий:</w:t>
            </w:r>
          </w:p>
          <w:p>
            <w:pPr>
              <w:spacing w:after="20"/>
              <w:ind w:left="20"/>
              <w:jc w:val="both"/>
            </w:pPr>
            <w:r>
              <w:rPr>
                <w:rFonts w:ascii="Times New Roman"/>
                <w:b w:val="false"/>
                <w:i w:val="false"/>
                <w:color w:val="000000"/>
                <w:sz w:val="20"/>
              </w:rPr>
              <w:t>
 а) грунт может безопасно выдерживать нагрузку от аттракциона;</w:t>
            </w:r>
          </w:p>
          <w:p>
            <w:pPr>
              <w:spacing w:after="20"/>
              <w:ind w:left="20"/>
              <w:jc w:val="both"/>
            </w:pPr>
            <w:r>
              <w:rPr>
                <w:rFonts w:ascii="Times New Roman"/>
                <w:b w:val="false"/>
                <w:i w:val="false"/>
                <w:color w:val="000000"/>
                <w:sz w:val="20"/>
              </w:rPr>
              <w:t>
б) площадка достаточно плоская, ровная и устойчивая для безопасного монтажа (сборки, установки) и эксплуатации аттракциона в соответствии с формуляром и инструкцией по монтажу (сборке, установке) аттракциона.</w:t>
            </w:r>
          </w:p>
          <w:p>
            <w:pPr>
              <w:spacing w:after="20"/>
              <w:ind w:left="20"/>
              <w:jc w:val="both"/>
            </w:pPr>
            <w:r>
              <w:rPr>
                <w:rFonts w:ascii="Times New Roman"/>
                <w:b w:val="false"/>
                <w:i w:val="false"/>
                <w:color w:val="000000"/>
                <w:sz w:val="20"/>
              </w:rPr>
              <w:t>
в) после монтажа (сборки, установки) аттракциона грунт необходимо регулярно проверять, чтобы убедиться в отсутствии ухудшения несущей способности, особенно при неблагоприятных погодных условиях. Площадка под аттракцион должна оборудоваться дренажом в случае риска воздействия на аттракцион грунтовых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расположения эксплуатантом подземных коммуникаций или воздушных линий, которые могут представлять опасность при монтаже (сборке, установке) или эксплуатации аттракциона, с учетом при необходимости рекомендации соответствующего органа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аттракционов с учетом безопасного доступа посетителей к каждому аттракциону и безопасного выхода из него в установленных местах, с исключением узких проходов, которые могут стать причиной опасного затора в чрезвычайной ситуации с учетом следующих условий:</w:t>
            </w:r>
          </w:p>
          <w:p>
            <w:pPr>
              <w:spacing w:after="20"/>
              <w:ind w:left="20"/>
              <w:jc w:val="both"/>
            </w:pPr>
            <w:r>
              <w:rPr>
                <w:rFonts w:ascii="Times New Roman"/>
                <w:b w:val="false"/>
                <w:i w:val="false"/>
                <w:color w:val="000000"/>
                <w:sz w:val="20"/>
              </w:rPr>
              <w:t>
а) на подъездных путях должно быть предусмотрено достаточное расстояние между аттракционами и вспомогательными устройствами аттракционов и над ними, чтобы обеспечить доступ для транспортных средств аварийных служб, а также доступ к стационарным пожарным гидрантам (в том числе во время эвакуации посетителей);</w:t>
            </w:r>
          </w:p>
          <w:p>
            <w:pPr>
              <w:spacing w:after="20"/>
              <w:ind w:left="20"/>
              <w:jc w:val="both"/>
            </w:pPr>
            <w:r>
              <w:rPr>
                <w:rFonts w:ascii="Times New Roman"/>
                <w:b w:val="false"/>
                <w:i w:val="false"/>
                <w:color w:val="000000"/>
                <w:sz w:val="20"/>
              </w:rPr>
              <w:t>
б) между соседними аттракционами, сооружениями или другими занятыми зонами должно быть достаточное расстояние, чтобы минимизировать риск распространения огня при пожаре;</w:t>
            </w:r>
          </w:p>
          <w:p>
            <w:pPr>
              <w:spacing w:after="20"/>
              <w:ind w:left="20"/>
              <w:jc w:val="both"/>
            </w:pPr>
            <w:r>
              <w:rPr>
                <w:rFonts w:ascii="Times New Roman"/>
                <w:b w:val="false"/>
                <w:i w:val="false"/>
                <w:color w:val="000000"/>
                <w:sz w:val="20"/>
              </w:rPr>
              <w:t>
в) если аттракционы пересекаются или проходят сквозь друг друга, то как минимум должны применяться контуры безопасности для каждого аттракциона. Эксплуатант должен обеспечить соблюдение контуров безопасности как для пассажиров, так и для других посетителей;</w:t>
            </w:r>
          </w:p>
          <w:p>
            <w:pPr>
              <w:spacing w:after="20"/>
              <w:ind w:left="20"/>
              <w:jc w:val="both"/>
            </w:pPr>
            <w:r>
              <w:rPr>
                <w:rFonts w:ascii="Times New Roman"/>
                <w:b w:val="false"/>
                <w:i w:val="false"/>
                <w:color w:val="000000"/>
                <w:sz w:val="20"/>
              </w:rPr>
              <w:t>
г) для работающих от жетонов аттракционов для детей расстояние между ними может варьироваться при условии соблюдения контуров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безопасности фундамента до начала монтажа (сборки, установки) аттракциона, если аттракцион монтируется (собирается, устанавливается) на фундамент.</w:t>
            </w:r>
          </w:p>
          <w:p>
            <w:pPr>
              <w:spacing w:after="20"/>
              <w:ind w:left="20"/>
              <w:jc w:val="both"/>
            </w:pPr>
            <w:r>
              <w:rPr>
                <w:rFonts w:ascii="Times New Roman"/>
                <w:b w:val="false"/>
                <w:i w:val="false"/>
                <w:color w:val="000000"/>
                <w:sz w:val="20"/>
              </w:rPr>
              <w:t>
Фундаменты должны соответствовать требованиям законодательства государства-члена в области строительства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соблюдение требования по установке аттракционов без фундамента с учетом динамической нагрузки, которая при работе аттракциона не должна приводить к перемещениям или к опрокидыванию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подтверждение проведения наладки и регулировки аттракциона после окончания работ по монтажу (сборке, установке) аттракциона в соответствии с рекомендациями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перед входом на аттракцион правил пользования аттракционом для посетителей, а также правил обслуживания пассажиров-лиц с инвалидностью, если биомеханические воздействия аттракциона для них допустимы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информации об ограничениях пользования аттракционом по состоянию здоровья, возрасту, росту и весу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для измерения роста и веса пассажиров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размещение перед входом на каждый эксплуатируемый аттракцион информационной таблички, содержащей сведения о дате последней ежегодной проверки с указанием организации, которая провела проверку, и о дате ближайшей ежегодной проверки. </w:t>
            </w:r>
          </w:p>
          <w:p>
            <w:pPr>
              <w:spacing w:after="20"/>
              <w:ind w:left="20"/>
              <w:jc w:val="both"/>
            </w:pPr>
            <w:r>
              <w:rPr>
                <w:rFonts w:ascii="Times New Roman"/>
                <w:b w:val="false"/>
                <w:i w:val="false"/>
                <w:color w:val="000000"/>
                <w:sz w:val="20"/>
              </w:rPr>
              <w:t>
Табличка должна быть читаемой, защищенной от погодных воздействий и умышленных повреждений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рядом с пультом аттракциона таблички, содержащей сведения об основных технических характеристиках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медицинской аптечки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необходимых эвакуационных знаков, планов и мероприятий по эвакуации пассажиров с большой высоты или из кресел со значительным наклоном по отношению к земле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средств эвакуации пассажиров из пассажирских модулей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основных правил по обслуживанию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схемы загрузки аттракциона пассажирами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рабочем месте обслуживающего персонала таблички с требованиями к персоналу по порядку проверок ежедневных в отношении критичных компонентов и критичных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ежедневной проверки аттракциона с записями в журнале о ежедневных допусках аттракциона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свободного доступа посетителей в опасные зоны (зоны движения пассажирских модулей, механизмов, шкафы с электрооборудованием, платформы и лестницы для обслуживающего персонала) во время работы аттракциона и вне его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установка на площадке аттракционов приборов для измерения силы ветра и температуры окружающего воздуха (если это предусмотрено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проведение полной проверки аттракциона эксплуатантом для эксплуатировавшихся аттракционов после длительного (свыше 12 месяцев) приостановления эксплуатации, простоя по техническим причинам, в случае проведения частичной или полной разборки аттракциона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технического обслуживания и ремонта аттракционов в соответствии с эксплуатационными документами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приостановление эксплуатации аттракциона эксплуатантом, если назначенный срок службы основной несущей конструкции и незаменяемых частей аттракциона истек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оценки остаточного ресурса, по истечении назначенного срока службы аттракциона, в форме обследования организацией, аккредитованной (уполномоченной) в порядке, установленном законодательством государств-членов с соблюдением следующих мер:</w:t>
            </w:r>
          </w:p>
          <w:p>
            <w:pPr>
              <w:spacing w:after="20"/>
              <w:ind w:left="20"/>
              <w:jc w:val="both"/>
            </w:pPr>
            <w:r>
              <w:rPr>
                <w:rFonts w:ascii="Times New Roman"/>
                <w:b w:val="false"/>
                <w:i w:val="false"/>
                <w:color w:val="000000"/>
                <w:sz w:val="20"/>
              </w:rPr>
              <w:t>
а) определение состояния оборудования аттракциона с выявлением дефектов, неисправностей, степени износа и коррозии;</w:t>
            </w:r>
          </w:p>
          <w:p>
            <w:pPr>
              <w:spacing w:after="20"/>
              <w:ind w:left="20"/>
              <w:jc w:val="both"/>
            </w:pPr>
            <w:r>
              <w:rPr>
                <w:rFonts w:ascii="Times New Roman"/>
                <w:b w:val="false"/>
                <w:i w:val="false"/>
                <w:color w:val="000000"/>
                <w:sz w:val="20"/>
              </w:rPr>
              <w:t>
б) контроль состояния металлоконструкций, пассажирских модулей, фиксирующих устройств, надежность крепления пассажирских кресел, шасси, тормозных устройств, систем управления;</w:t>
            </w:r>
          </w:p>
          <w:p>
            <w:pPr>
              <w:spacing w:after="20"/>
              <w:ind w:left="20"/>
              <w:jc w:val="both"/>
            </w:pPr>
            <w:r>
              <w:rPr>
                <w:rFonts w:ascii="Times New Roman"/>
                <w:b w:val="false"/>
                <w:i w:val="false"/>
                <w:color w:val="000000"/>
                <w:sz w:val="20"/>
              </w:rPr>
              <w:t>
в) испытание изоляции электрических цепей и электрооборудования, визуальный и измерительный контроль заземления (зануления) оборудования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сведений о проведенном обследовании в формуляре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заключения, содержащее условия и возможный срок продления эксплуатации аттракциона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проведение модификаций аттракциона с предварительным одобрением проектировщика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минеральных удобрений нормам радиационной и химической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в паспорте безопасности и предупредительной маркировке сведений по классификации минеральных удобрений по опасным факторам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упаковки минеральных удобрений, предназначенных для реализации через торговую сеть (предприятия или организации оптовой и розничной торговли). Не допускается реализация в розничной торговле минеральных удобрений с нарушенной упаковкой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выпуску в обращение на рынке Евразийского экономического союза минеральных удобрений, не маркированных единым знаком обращения продукции на рынке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твердых минеральных удобрений в крытых железнодорожных вагонах, полувагонах, закрытых транспортных емкостях судов (трюмы, танки) и автомобильным транспортом с обязательным их укрытием в кузове. Упакованные в мягкие контейнеры с полимерными вкладышами твердые минеральные удобрения допускается перевозить в полувагонах, на открытых палубных судах и автомобильным транспортом без укрытия в кузове. Упакованные в полимерные мешки твердые минеральные удобрения допускается перевозить автомобильным транспортом без укрытия в кузове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насыпью в одном вагоне, транспортной емкости судна (трюме, танке) кузове автомобиля грузов одновременно с минеральными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перевозки минеральных удобрений, классифицированных как опасные грузы, в том числе обладающие пожаро- и взрывоопасными свойствами, в соответствии с нормами и правилами перевозки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перевозка жидких минеральных удобрений (аммиачной воды, углеаммиаката, жидких комплексных минеральных удобрений) наливом железнодорожным и автомобильным транспортом, в контейнерах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жидких минеральных удобрений наливом водным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p>
            <w:pPr>
              <w:spacing w:after="20"/>
              <w:ind w:left="20"/>
              <w:jc w:val="both"/>
            </w:pPr>
            <w:r>
              <w:rPr>
                <w:rFonts w:ascii="Times New Roman"/>
                <w:b w:val="false"/>
                <w:i w:val="false"/>
                <w:color w:val="000000"/>
                <w:sz w:val="20"/>
              </w:rPr>
              <w:t>
Перевозка жидких комплексных минеральных удобрений, расфасованных в потребительскую тару, производится железнодорожным и автомобильным транспортом, транспортными пакетами на поддонах, в контейнерах или таре в соответствии с положениями, изложенными в паспорте безопасности.</w:t>
            </w:r>
          </w:p>
          <w:p>
            <w:pPr>
              <w:spacing w:after="20"/>
              <w:ind w:left="20"/>
              <w:jc w:val="both"/>
            </w:pPr>
            <w:r>
              <w:rPr>
                <w:rFonts w:ascii="Times New Roman"/>
                <w:b w:val="false"/>
                <w:i w:val="false"/>
                <w:color w:val="000000"/>
                <w:sz w:val="20"/>
              </w:rPr>
              <w:t>
Перевозка минеральных удобрений воздушным транспортом производится в соответствии с требованиями, предусмотренными нормативно-техническими документами на конкретный вид минерального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степени заполнения емкостей для перевозки жидких минеральных удобрений с учетом объемного расширения продукта при возможном перепаде температур в пути следования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содержащее следующее:</w:t>
            </w:r>
          </w:p>
          <w:p>
            <w:pPr>
              <w:spacing w:after="20"/>
              <w:ind w:left="20"/>
              <w:jc w:val="both"/>
            </w:pPr>
            <w:r>
              <w:rPr>
                <w:rFonts w:ascii="Times New Roman"/>
                <w:b w:val="false"/>
                <w:i w:val="false"/>
                <w:color w:val="000000"/>
                <w:sz w:val="20"/>
              </w:rPr>
              <w:t>
1) наименование минерального удобрения и его назначение;</w:t>
            </w:r>
          </w:p>
          <w:p>
            <w:pPr>
              <w:spacing w:after="20"/>
              <w:ind w:left="20"/>
              <w:jc w:val="both"/>
            </w:pPr>
            <w:r>
              <w:rPr>
                <w:rFonts w:ascii="Times New Roman"/>
                <w:b w:val="false"/>
                <w:i w:val="false"/>
                <w:color w:val="000000"/>
                <w:sz w:val="20"/>
              </w:rPr>
              <w:t>
2) наименование и содержание питательных элементов, в том числе микро- и макроэлементов;</w:t>
            </w:r>
          </w:p>
          <w:p>
            <w:pPr>
              <w:spacing w:after="20"/>
              <w:ind w:left="20"/>
              <w:jc w:val="both"/>
            </w:pPr>
            <w:r>
              <w:rPr>
                <w:rFonts w:ascii="Times New Roman"/>
                <w:b w:val="false"/>
                <w:i w:val="false"/>
                <w:color w:val="000000"/>
                <w:sz w:val="20"/>
              </w:rPr>
              <w:t>
3) наименование (фирменное наименование) изготовителя и его место нахождения (адрес юридического лица, фактический адрес - для юридического лица, фамилия, имя и отчество (при наличии), место жительства, сведения о государственной регистрации физического лица, зарегистрированного в качестве индивидуального предпринимателя, - для физического лица), наименование страны, где изготовлены минеральные удобрения;</w:t>
            </w:r>
          </w:p>
          <w:p>
            <w:pPr>
              <w:spacing w:after="20"/>
              <w:ind w:left="20"/>
              <w:jc w:val="both"/>
            </w:pPr>
            <w:r>
              <w:rPr>
                <w:rFonts w:ascii="Times New Roman"/>
                <w:b w:val="false"/>
                <w:i w:val="false"/>
                <w:color w:val="000000"/>
                <w:sz w:val="20"/>
              </w:rPr>
              <w:t>
4) товарный знак изготовителя (при наличии);</w:t>
            </w:r>
          </w:p>
          <w:p>
            <w:pPr>
              <w:spacing w:after="20"/>
              <w:ind w:left="20"/>
              <w:jc w:val="both"/>
            </w:pPr>
            <w:r>
              <w:rPr>
                <w:rFonts w:ascii="Times New Roman"/>
                <w:b w:val="false"/>
                <w:i w:val="false"/>
                <w:color w:val="000000"/>
                <w:sz w:val="20"/>
              </w:rPr>
              <w:t>
5) обозначение документа, в соответствии с которым производится и поставляется минеральное удобрение;</w:t>
            </w:r>
          </w:p>
          <w:p>
            <w:pPr>
              <w:spacing w:after="20"/>
              <w:ind w:left="20"/>
              <w:jc w:val="both"/>
            </w:pPr>
            <w:r>
              <w:rPr>
                <w:rFonts w:ascii="Times New Roman"/>
                <w:b w:val="false"/>
                <w:i w:val="false"/>
                <w:color w:val="000000"/>
                <w:sz w:val="20"/>
              </w:rPr>
              <w:t>
6) марка и (или) сорт минерального удобрения (при наличии);</w:t>
            </w:r>
          </w:p>
          <w:p>
            <w:pPr>
              <w:spacing w:after="20"/>
              <w:ind w:left="20"/>
              <w:jc w:val="both"/>
            </w:pPr>
            <w:r>
              <w:rPr>
                <w:rFonts w:ascii="Times New Roman"/>
                <w:b w:val="false"/>
                <w:i w:val="false"/>
                <w:color w:val="000000"/>
                <w:sz w:val="20"/>
              </w:rPr>
              <w:t>
7) номер партии (для фасованных минеральных удобрений);</w:t>
            </w:r>
          </w:p>
          <w:p>
            <w:pPr>
              <w:spacing w:after="20"/>
              <w:ind w:left="20"/>
              <w:jc w:val="both"/>
            </w:pPr>
            <w:r>
              <w:rPr>
                <w:rFonts w:ascii="Times New Roman"/>
                <w:b w:val="false"/>
                <w:i w:val="false"/>
                <w:color w:val="000000"/>
                <w:sz w:val="20"/>
              </w:rPr>
              <w:t>
8) номинальное количество минеральных удобрений (масса или объем) (для фасованных минеральных удобрений);</w:t>
            </w:r>
          </w:p>
          <w:p>
            <w:pPr>
              <w:spacing w:after="20"/>
              <w:ind w:left="20"/>
              <w:jc w:val="both"/>
            </w:pPr>
            <w:r>
              <w:rPr>
                <w:rFonts w:ascii="Times New Roman"/>
                <w:b w:val="false"/>
                <w:i w:val="false"/>
                <w:color w:val="000000"/>
                <w:sz w:val="20"/>
              </w:rPr>
              <w:t>
9) рекомендации по перевозке, применению и хранению минерального удобрения;</w:t>
            </w:r>
          </w:p>
          <w:p>
            <w:pPr>
              <w:spacing w:after="20"/>
              <w:ind w:left="20"/>
              <w:jc w:val="both"/>
            </w:pPr>
            <w:r>
              <w:rPr>
                <w:rFonts w:ascii="Times New Roman"/>
                <w:b w:val="false"/>
                <w:i w:val="false"/>
                <w:color w:val="000000"/>
                <w:sz w:val="20"/>
              </w:rPr>
              <w:t>
10) регистрационный номер минерального удобрения, зарегистрированного в государстве-члене Евразийского экономического союза;</w:t>
            </w:r>
          </w:p>
          <w:p>
            <w:pPr>
              <w:spacing w:after="20"/>
              <w:ind w:left="20"/>
              <w:jc w:val="both"/>
            </w:pPr>
            <w:r>
              <w:rPr>
                <w:rFonts w:ascii="Times New Roman"/>
                <w:b w:val="false"/>
                <w:i w:val="false"/>
                <w:color w:val="000000"/>
                <w:sz w:val="20"/>
              </w:rPr>
              <w:t>
11) дата изготовления или дата отгрузки минерального удобрения (месяц, год);</w:t>
            </w:r>
          </w:p>
          <w:p>
            <w:pPr>
              <w:spacing w:after="20"/>
              <w:ind w:left="20"/>
              <w:jc w:val="both"/>
            </w:pPr>
            <w:r>
              <w:rPr>
                <w:rFonts w:ascii="Times New Roman"/>
                <w:b w:val="false"/>
                <w:i w:val="false"/>
                <w:color w:val="000000"/>
                <w:sz w:val="20"/>
              </w:rPr>
              <w:t>
12) дата фасования (месяц, год - для фасованных минеральных удобрений, если их фасование производится не изготовителем этих минеральных удобрений);</w:t>
            </w:r>
          </w:p>
          <w:p>
            <w:pPr>
              <w:spacing w:after="20"/>
              <w:ind w:left="20"/>
              <w:jc w:val="both"/>
            </w:pPr>
            <w:r>
              <w:rPr>
                <w:rFonts w:ascii="Times New Roman"/>
                <w:b w:val="false"/>
                <w:i w:val="false"/>
                <w:color w:val="000000"/>
                <w:sz w:val="20"/>
              </w:rPr>
              <w:t>
13) условия хранения минерального удобрения;</w:t>
            </w:r>
          </w:p>
          <w:p>
            <w:pPr>
              <w:spacing w:after="20"/>
              <w:ind w:left="20"/>
              <w:jc w:val="both"/>
            </w:pPr>
            <w:r>
              <w:rPr>
                <w:rFonts w:ascii="Times New Roman"/>
                <w:b w:val="false"/>
                <w:i w:val="false"/>
                <w:color w:val="000000"/>
                <w:sz w:val="20"/>
              </w:rPr>
              <w:t>
14) гарантийный срок хранения минерального удобрения;</w:t>
            </w:r>
          </w:p>
          <w:p>
            <w:pPr>
              <w:spacing w:after="20"/>
              <w:ind w:left="20"/>
              <w:jc w:val="both"/>
            </w:pPr>
            <w:r>
              <w:rPr>
                <w:rFonts w:ascii="Times New Roman"/>
                <w:b w:val="false"/>
                <w:i w:val="false"/>
                <w:color w:val="000000"/>
                <w:sz w:val="20"/>
              </w:rPr>
              <w:t>
15) штриховой идентификационный код минерального удобрения (код, представляющий знаки с помощью наборов параллельных штрихов различной толщины и шага, которые оптически считываются путем поперечного сканирования) - для минеральных удобрений, реализуемых через розничную торговую сеть;</w:t>
            </w:r>
          </w:p>
          <w:p>
            <w:pPr>
              <w:spacing w:after="20"/>
              <w:ind w:left="20"/>
              <w:jc w:val="both"/>
            </w:pPr>
            <w:r>
              <w:rPr>
                <w:rFonts w:ascii="Times New Roman"/>
                <w:b w:val="false"/>
                <w:i w:val="false"/>
                <w:color w:val="000000"/>
                <w:sz w:val="20"/>
              </w:rPr>
              <w:t>
16) ограничения по применению минерального удобрения (совместимость со средствами защиты растений, фитотоксичность);</w:t>
            </w:r>
          </w:p>
          <w:p>
            <w:pPr>
              <w:spacing w:after="20"/>
              <w:ind w:left="20"/>
              <w:jc w:val="both"/>
            </w:pPr>
            <w:r>
              <w:rPr>
                <w:rFonts w:ascii="Times New Roman"/>
                <w:b w:val="false"/>
                <w:i w:val="false"/>
                <w:color w:val="000000"/>
                <w:sz w:val="20"/>
              </w:rPr>
              <w:t>
17) меры предосторожности при работе с минеральным удобрением, его транспортировке и хранении, включая способы обезвреживания пролитого или рассыпанного минерального удобрения;</w:t>
            </w:r>
          </w:p>
          <w:p>
            <w:pPr>
              <w:spacing w:after="20"/>
              <w:ind w:left="20"/>
              <w:jc w:val="both"/>
            </w:pPr>
            <w:r>
              <w:rPr>
                <w:rFonts w:ascii="Times New Roman"/>
                <w:b w:val="false"/>
                <w:i w:val="false"/>
                <w:color w:val="000000"/>
                <w:sz w:val="20"/>
              </w:rPr>
              <w:t>
18) способы обезвреживания и утилизации тары из-под минерального удобрения;</w:t>
            </w:r>
          </w:p>
          <w:p>
            <w:pPr>
              <w:spacing w:after="20"/>
              <w:ind w:left="20"/>
              <w:jc w:val="both"/>
            </w:pPr>
            <w:r>
              <w:rPr>
                <w:rFonts w:ascii="Times New Roman"/>
                <w:b w:val="false"/>
                <w:i w:val="false"/>
                <w:color w:val="000000"/>
                <w:sz w:val="20"/>
              </w:rPr>
              <w:t>
19) описание клинической картины острых отравлений (при наличии данных), медицинские рекомендации, в том числе с указанием антидота (при наличии) и мер первой помощи при отравлении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соответствующей предупредительной маркировки на минеральных удобрениях, если минеральное удобрение классифицируется как опасное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маркировка фасованных минеральных удобрений на упаковку либо на этикетку или ярлык, прикрепляемые к упаковке способом, обеспечивающим их сохранность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поставке неупакованных минеральных удобрений информации о продукции (маркировка), в составе комплекта сопроводительных документов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транспортной маркировки минеральных удобрений нормам и правилам перевозки опасных грузов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минеральных удобрений на русском языке и при наличии соответствующих требований в законодательстве государств-членов на государственном языке государства-члена Евразийского экономического союза, на территории которого реализуются минеральные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продукции минеральных удобрений четкой и разборчивой маркировки, в доступном для осмотра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как новой химической продукции при отсутствии сведений о химической продукции в реестре химических веществ и смесей Евразийского экономического союза, а новые химические вещества, входящие в ее состав, нотифицированы до выпуска в обращение на территории Евразийского экономического союза химической продукции, содержащей такие химические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химической продукции включающее:</w:t>
            </w:r>
          </w:p>
          <w:p>
            <w:pPr>
              <w:spacing w:after="20"/>
              <w:ind w:left="20"/>
              <w:jc w:val="both"/>
            </w:pPr>
            <w:r>
              <w:rPr>
                <w:rFonts w:ascii="Times New Roman"/>
                <w:b w:val="false"/>
                <w:i w:val="false"/>
                <w:color w:val="000000"/>
                <w:sz w:val="20"/>
              </w:rPr>
              <w:t>
1) установление наименования химической продукции;</w:t>
            </w:r>
          </w:p>
          <w:p>
            <w:pPr>
              <w:spacing w:after="20"/>
              <w:ind w:left="20"/>
              <w:jc w:val="both"/>
            </w:pPr>
            <w:r>
              <w:rPr>
                <w:rFonts w:ascii="Times New Roman"/>
                <w:b w:val="false"/>
                <w:i w:val="false"/>
                <w:color w:val="000000"/>
                <w:sz w:val="20"/>
              </w:rPr>
              <w:t>
2) отнесение химической продукции к химическим веществам или смесям;</w:t>
            </w:r>
          </w:p>
          <w:p>
            <w:pPr>
              <w:spacing w:after="20"/>
              <w:ind w:left="20"/>
              <w:jc w:val="both"/>
            </w:pPr>
            <w:r>
              <w:rPr>
                <w:rFonts w:ascii="Times New Roman"/>
                <w:b w:val="false"/>
                <w:i w:val="false"/>
                <w:color w:val="000000"/>
                <w:sz w:val="20"/>
              </w:rPr>
              <w:t>
3) установление для химического вещества наименования;</w:t>
            </w:r>
          </w:p>
          <w:p>
            <w:pPr>
              <w:spacing w:after="20"/>
              <w:ind w:left="20"/>
              <w:jc w:val="both"/>
            </w:pPr>
            <w:r>
              <w:rPr>
                <w:rFonts w:ascii="Times New Roman"/>
                <w:b w:val="false"/>
                <w:i w:val="false"/>
                <w:color w:val="000000"/>
                <w:sz w:val="20"/>
              </w:rPr>
              <w:t>
4) определение химического состава смеси с установлением для каждого из входящих в состав идентифицируемых компонентов наименования;</w:t>
            </w:r>
          </w:p>
          <w:p>
            <w:pPr>
              <w:spacing w:after="20"/>
              <w:ind w:left="20"/>
              <w:jc w:val="both"/>
            </w:pPr>
            <w:r>
              <w:rPr>
                <w:rFonts w:ascii="Times New Roman"/>
                <w:b w:val="false"/>
                <w:i w:val="false"/>
                <w:color w:val="000000"/>
                <w:sz w:val="20"/>
              </w:rPr>
              <w:t>
5) установление наличия в составе химической продукции новых химических веществ в концентрациях более 0,1%;</w:t>
            </w:r>
          </w:p>
          <w:p>
            <w:pPr>
              <w:spacing w:after="20"/>
              <w:ind w:left="20"/>
              <w:jc w:val="both"/>
            </w:pPr>
            <w:r>
              <w:rPr>
                <w:rFonts w:ascii="Times New Roman"/>
                <w:b w:val="false"/>
                <w:i w:val="false"/>
                <w:color w:val="000000"/>
                <w:sz w:val="20"/>
              </w:rPr>
              <w:t>
6) отнесение химических веществ в составе химической продукции к:</w:t>
            </w:r>
          </w:p>
          <w:p>
            <w:pPr>
              <w:spacing w:after="20"/>
              <w:ind w:left="20"/>
              <w:jc w:val="both"/>
            </w:pPr>
            <w:r>
              <w:rPr>
                <w:rFonts w:ascii="Times New Roman"/>
                <w:b w:val="false"/>
                <w:i w:val="false"/>
                <w:color w:val="000000"/>
                <w:sz w:val="20"/>
              </w:rPr>
              <w:t>
а) новым химическим веществам;</w:t>
            </w:r>
          </w:p>
          <w:p>
            <w:pPr>
              <w:spacing w:after="20"/>
              <w:ind w:left="20"/>
              <w:jc w:val="both"/>
            </w:pPr>
            <w:r>
              <w:rPr>
                <w:rFonts w:ascii="Times New Roman"/>
                <w:b w:val="false"/>
                <w:i w:val="false"/>
                <w:color w:val="000000"/>
                <w:sz w:val="20"/>
              </w:rPr>
              <w:t>
б) химическим веществам, запрещенным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в) химическим веществам, ограниченным к применению на территории Евразийского экономического союза;</w:t>
            </w:r>
          </w:p>
          <w:p>
            <w:pPr>
              <w:spacing w:after="20"/>
              <w:ind w:left="20"/>
              <w:jc w:val="both"/>
            </w:pPr>
            <w:r>
              <w:rPr>
                <w:rFonts w:ascii="Times New Roman"/>
                <w:b w:val="false"/>
                <w:i w:val="false"/>
                <w:color w:val="000000"/>
                <w:sz w:val="20"/>
              </w:rPr>
              <w:t>
7) определение области применения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идентификация определения химического состава химического вещества для которого требуется определить:</w:t>
            </w:r>
          </w:p>
          <w:p>
            <w:pPr>
              <w:spacing w:after="20"/>
              <w:ind w:left="20"/>
              <w:jc w:val="both"/>
            </w:pPr>
            <w:r>
              <w:rPr>
                <w:rFonts w:ascii="Times New Roman"/>
                <w:b w:val="false"/>
                <w:i w:val="false"/>
                <w:color w:val="000000"/>
                <w:sz w:val="20"/>
              </w:rPr>
              <w:t>
1) основное химическое вещество;</w:t>
            </w:r>
          </w:p>
          <w:p>
            <w:pPr>
              <w:spacing w:after="20"/>
              <w:ind w:left="20"/>
              <w:jc w:val="both"/>
            </w:pPr>
            <w:r>
              <w:rPr>
                <w:rFonts w:ascii="Times New Roman"/>
                <w:b w:val="false"/>
                <w:i w:val="false"/>
                <w:color w:val="000000"/>
                <w:sz w:val="20"/>
              </w:rPr>
              <w:t>
2) опасные химические вещества в составе добавок и примесей, если они присутствуют в количествах, превышающих значения концентраций, указанные в стандартах, включенных в перечень стандартов.</w:t>
            </w:r>
          </w:p>
          <w:p>
            <w:pPr>
              <w:spacing w:after="20"/>
              <w:ind w:left="20"/>
              <w:jc w:val="both"/>
            </w:pPr>
            <w:r>
              <w:rPr>
                <w:rFonts w:ascii="Times New Roman"/>
                <w:b w:val="false"/>
                <w:i w:val="false"/>
                <w:color w:val="000000"/>
                <w:sz w:val="20"/>
              </w:rPr>
              <w:t>
При определении химического состава смеси необходимо идентифицировать:</w:t>
            </w:r>
          </w:p>
          <w:p>
            <w:pPr>
              <w:spacing w:after="20"/>
              <w:ind w:left="20"/>
              <w:jc w:val="both"/>
            </w:pPr>
            <w:r>
              <w:rPr>
                <w:rFonts w:ascii="Times New Roman"/>
                <w:b w:val="false"/>
                <w:i w:val="false"/>
                <w:color w:val="000000"/>
                <w:sz w:val="20"/>
              </w:rPr>
              <w:t>
1) химические вещества, присутствующие в концентрациях более 10%;</w:t>
            </w:r>
          </w:p>
          <w:p>
            <w:pPr>
              <w:spacing w:after="20"/>
              <w:ind w:left="20"/>
              <w:jc w:val="both"/>
            </w:pPr>
            <w:r>
              <w:rPr>
                <w:rFonts w:ascii="Times New Roman"/>
                <w:b w:val="false"/>
                <w:i w:val="false"/>
                <w:color w:val="000000"/>
                <w:sz w:val="20"/>
              </w:rPr>
              <w:t>
2) опасные химические вещества, присутствующие в количествах, превышающих значения необходимых концентраций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по видам опасного воздействия в отношении жизни и здоровья человека, имущества, окружающей среды, жизни и здоровья животных и растений, связанного с физико-химическими свойствами химической продукции, подразделением на:</w:t>
            </w:r>
          </w:p>
          <w:p>
            <w:pPr>
              <w:spacing w:after="20"/>
              <w:ind w:left="20"/>
              <w:jc w:val="both"/>
            </w:pPr>
            <w:r>
              <w:rPr>
                <w:rFonts w:ascii="Times New Roman"/>
                <w:b w:val="false"/>
                <w:i w:val="false"/>
                <w:color w:val="000000"/>
                <w:sz w:val="20"/>
              </w:rPr>
              <w:t>
1) взрывчатую химическую продукцию;</w:t>
            </w:r>
          </w:p>
          <w:p>
            <w:pPr>
              <w:spacing w:after="20"/>
              <w:ind w:left="20"/>
              <w:jc w:val="both"/>
            </w:pPr>
            <w:r>
              <w:rPr>
                <w:rFonts w:ascii="Times New Roman"/>
                <w:b w:val="false"/>
                <w:i w:val="false"/>
                <w:color w:val="000000"/>
                <w:sz w:val="20"/>
              </w:rPr>
              <w:t>
2) сжатый газ (сжиженный газ);</w:t>
            </w:r>
          </w:p>
          <w:p>
            <w:pPr>
              <w:spacing w:after="20"/>
              <w:ind w:left="20"/>
              <w:jc w:val="both"/>
            </w:pPr>
            <w:r>
              <w:rPr>
                <w:rFonts w:ascii="Times New Roman"/>
                <w:b w:val="false"/>
                <w:i w:val="false"/>
                <w:color w:val="000000"/>
                <w:sz w:val="20"/>
              </w:rPr>
              <w:t>
3) воспламеняющуюся газообразную химическую продукцию (воспламеняющийся газ);</w:t>
            </w:r>
          </w:p>
          <w:p>
            <w:pPr>
              <w:spacing w:after="20"/>
              <w:ind w:left="20"/>
              <w:jc w:val="both"/>
            </w:pPr>
            <w:r>
              <w:rPr>
                <w:rFonts w:ascii="Times New Roman"/>
                <w:b w:val="false"/>
                <w:i w:val="false"/>
                <w:color w:val="000000"/>
                <w:sz w:val="20"/>
              </w:rPr>
              <w:t>
4) воспламеняющуюся химическую продукцию в аэрозольной упаковке;</w:t>
            </w:r>
          </w:p>
          <w:p>
            <w:pPr>
              <w:spacing w:after="20"/>
              <w:ind w:left="20"/>
              <w:jc w:val="both"/>
            </w:pPr>
            <w:r>
              <w:rPr>
                <w:rFonts w:ascii="Times New Roman"/>
                <w:b w:val="false"/>
                <w:i w:val="false"/>
                <w:color w:val="000000"/>
                <w:sz w:val="20"/>
              </w:rPr>
              <w:t>
5) воспламеняющуюся (горючую) жидкость;</w:t>
            </w:r>
          </w:p>
          <w:p>
            <w:pPr>
              <w:spacing w:after="20"/>
              <w:ind w:left="20"/>
              <w:jc w:val="both"/>
            </w:pPr>
            <w:r>
              <w:rPr>
                <w:rFonts w:ascii="Times New Roman"/>
                <w:b w:val="false"/>
                <w:i w:val="false"/>
                <w:color w:val="000000"/>
                <w:sz w:val="20"/>
              </w:rPr>
              <w:t>
6) воспламеняющуюся химическую продукцию, находящуюся в твердом состоянии;</w:t>
            </w:r>
          </w:p>
          <w:p>
            <w:pPr>
              <w:spacing w:after="20"/>
              <w:ind w:left="20"/>
              <w:jc w:val="both"/>
            </w:pPr>
            <w:r>
              <w:rPr>
                <w:rFonts w:ascii="Times New Roman"/>
                <w:b w:val="false"/>
                <w:i w:val="false"/>
                <w:color w:val="000000"/>
                <w:sz w:val="20"/>
              </w:rPr>
              <w:t>
7) саморазлагающуюся (самореактивную) химическую продукцию;</w:t>
            </w:r>
          </w:p>
          <w:p>
            <w:pPr>
              <w:spacing w:after="20"/>
              <w:ind w:left="20"/>
              <w:jc w:val="both"/>
            </w:pPr>
            <w:r>
              <w:rPr>
                <w:rFonts w:ascii="Times New Roman"/>
                <w:b w:val="false"/>
                <w:i w:val="false"/>
                <w:color w:val="000000"/>
                <w:sz w:val="20"/>
              </w:rPr>
              <w:t>
8) пирофорную химическую продукцию;</w:t>
            </w:r>
          </w:p>
          <w:p>
            <w:pPr>
              <w:spacing w:after="20"/>
              <w:ind w:left="20"/>
              <w:jc w:val="both"/>
            </w:pPr>
            <w:r>
              <w:rPr>
                <w:rFonts w:ascii="Times New Roman"/>
                <w:b w:val="false"/>
                <w:i w:val="false"/>
                <w:color w:val="000000"/>
                <w:sz w:val="20"/>
              </w:rPr>
              <w:t>
9) самонагревающуюся химическую продукцию (за исключением пирофорной химической продукции);</w:t>
            </w:r>
          </w:p>
          <w:p>
            <w:pPr>
              <w:spacing w:after="20"/>
              <w:ind w:left="20"/>
              <w:jc w:val="both"/>
            </w:pPr>
            <w:r>
              <w:rPr>
                <w:rFonts w:ascii="Times New Roman"/>
                <w:b w:val="false"/>
                <w:i w:val="false"/>
                <w:color w:val="000000"/>
                <w:sz w:val="20"/>
              </w:rPr>
              <w:t>
10) химическую продукцию, опасную при контакте с водой;</w:t>
            </w:r>
          </w:p>
          <w:p>
            <w:pPr>
              <w:spacing w:after="20"/>
              <w:ind w:left="20"/>
              <w:jc w:val="both"/>
            </w:pPr>
            <w:r>
              <w:rPr>
                <w:rFonts w:ascii="Times New Roman"/>
                <w:b w:val="false"/>
                <w:i w:val="false"/>
                <w:color w:val="000000"/>
                <w:sz w:val="20"/>
              </w:rPr>
              <w:t>
11) окисляющую химическую продукцию;</w:t>
            </w:r>
          </w:p>
          <w:p>
            <w:pPr>
              <w:spacing w:after="20"/>
              <w:ind w:left="20"/>
              <w:jc w:val="both"/>
            </w:pPr>
            <w:r>
              <w:rPr>
                <w:rFonts w:ascii="Times New Roman"/>
                <w:b w:val="false"/>
                <w:i w:val="false"/>
                <w:color w:val="000000"/>
                <w:sz w:val="20"/>
              </w:rPr>
              <w:t>
12) органические пероксиды;</w:t>
            </w:r>
          </w:p>
          <w:p>
            <w:pPr>
              <w:spacing w:after="20"/>
              <w:ind w:left="20"/>
              <w:jc w:val="both"/>
            </w:pPr>
            <w:r>
              <w:rPr>
                <w:rFonts w:ascii="Times New Roman"/>
                <w:b w:val="false"/>
                <w:i w:val="false"/>
                <w:color w:val="000000"/>
                <w:sz w:val="20"/>
              </w:rPr>
              <w:t>
13) коррозионно-активную химическую продукцию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проявляющей опасные свойства в отношении жизни и здоровья человека и животных, подразделением на:</w:t>
            </w:r>
          </w:p>
          <w:p>
            <w:pPr>
              <w:spacing w:after="20"/>
              <w:ind w:left="20"/>
              <w:jc w:val="both"/>
            </w:pPr>
            <w:r>
              <w:rPr>
                <w:rFonts w:ascii="Times New Roman"/>
                <w:b w:val="false"/>
                <w:i w:val="false"/>
                <w:color w:val="000000"/>
                <w:sz w:val="20"/>
              </w:rPr>
              <w:t>
1) обладающая острой токсичностью в отношении воздействия на живой организм;</w:t>
            </w:r>
          </w:p>
          <w:p>
            <w:pPr>
              <w:spacing w:after="20"/>
              <w:ind w:left="20"/>
              <w:jc w:val="both"/>
            </w:pPr>
            <w:r>
              <w:rPr>
                <w:rFonts w:ascii="Times New Roman"/>
                <w:b w:val="false"/>
                <w:i w:val="false"/>
                <w:color w:val="000000"/>
                <w:sz w:val="20"/>
              </w:rPr>
              <w:t>
2) вызывающая разъедание (некроз) и раздражение кожи;</w:t>
            </w:r>
          </w:p>
          <w:p>
            <w:pPr>
              <w:spacing w:after="20"/>
              <w:ind w:left="20"/>
              <w:jc w:val="both"/>
            </w:pPr>
            <w:r>
              <w:rPr>
                <w:rFonts w:ascii="Times New Roman"/>
                <w:b w:val="false"/>
                <w:i w:val="false"/>
                <w:color w:val="000000"/>
                <w:sz w:val="20"/>
              </w:rPr>
              <w:t>
3) вызывающая серьезное повреждение (раздражение) глаз;</w:t>
            </w:r>
          </w:p>
          <w:p>
            <w:pPr>
              <w:spacing w:after="20"/>
              <w:ind w:left="20"/>
              <w:jc w:val="both"/>
            </w:pPr>
            <w:r>
              <w:rPr>
                <w:rFonts w:ascii="Times New Roman"/>
                <w:b w:val="false"/>
                <w:i w:val="false"/>
                <w:color w:val="000000"/>
                <w:sz w:val="20"/>
              </w:rPr>
              <w:t>
4) оказывающая сенсибилизирующее действие;</w:t>
            </w:r>
          </w:p>
          <w:p>
            <w:pPr>
              <w:spacing w:after="20"/>
              <w:ind w:left="20"/>
              <w:jc w:val="both"/>
            </w:pPr>
            <w:r>
              <w:rPr>
                <w:rFonts w:ascii="Times New Roman"/>
                <w:b w:val="false"/>
                <w:i w:val="false"/>
                <w:color w:val="000000"/>
                <w:sz w:val="20"/>
              </w:rPr>
              <w:t>
5) обладающая мутагенными свойствами (мутагены);</w:t>
            </w:r>
          </w:p>
          <w:p>
            <w:pPr>
              <w:spacing w:after="20"/>
              <w:ind w:left="20"/>
              <w:jc w:val="both"/>
            </w:pPr>
            <w:r>
              <w:rPr>
                <w:rFonts w:ascii="Times New Roman"/>
                <w:b w:val="false"/>
                <w:i w:val="false"/>
                <w:color w:val="000000"/>
                <w:sz w:val="20"/>
              </w:rPr>
              <w:t>
6) обладающая канцерогенными свойствами (канцерогены);</w:t>
            </w:r>
          </w:p>
          <w:p>
            <w:pPr>
              <w:spacing w:after="20"/>
              <w:ind w:left="20"/>
              <w:jc w:val="both"/>
            </w:pPr>
            <w:r>
              <w:rPr>
                <w:rFonts w:ascii="Times New Roman"/>
                <w:b w:val="false"/>
                <w:i w:val="false"/>
                <w:color w:val="000000"/>
                <w:sz w:val="20"/>
              </w:rPr>
              <w:t>
7) воздействующая на репродуктивную функцию;</w:t>
            </w:r>
          </w:p>
          <w:p>
            <w:pPr>
              <w:spacing w:after="20"/>
              <w:ind w:left="20"/>
              <w:jc w:val="both"/>
            </w:pPr>
            <w:r>
              <w:rPr>
                <w:rFonts w:ascii="Times New Roman"/>
                <w:b w:val="false"/>
                <w:i w:val="false"/>
                <w:color w:val="000000"/>
                <w:sz w:val="20"/>
              </w:rPr>
              <w:t>
8) обладающая избирательной токсичностью на отдельные органы (органы-мишени) и (или) системы живого организма при однократном и кратковременном воздействии или при многократном и продолжительном воздействии;</w:t>
            </w:r>
          </w:p>
          <w:p>
            <w:pPr>
              <w:spacing w:after="20"/>
              <w:ind w:left="20"/>
              <w:jc w:val="both"/>
            </w:pPr>
            <w:r>
              <w:rPr>
                <w:rFonts w:ascii="Times New Roman"/>
                <w:b w:val="false"/>
                <w:i w:val="false"/>
                <w:color w:val="000000"/>
                <w:sz w:val="20"/>
              </w:rPr>
              <w:t>
9) представляющая опасность при аспирации;</w:t>
            </w:r>
          </w:p>
          <w:p>
            <w:pPr>
              <w:spacing w:after="20"/>
              <w:ind w:left="20"/>
              <w:jc w:val="both"/>
            </w:pPr>
            <w:r>
              <w:rPr>
                <w:rFonts w:ascii="Times New Roman"/>
                <w:b w:val="false"/>
                <w:i w:val="false"/>
                <w:color w:val="000000"/>
                <w:sz w:val="20"/>
              </w:rPr>
              <w:t>
10) стойкая, способная к накоплению в биологических объектах токсичных веществ;</w:t>
            </w:r>
          </w:p>
          <w:p>
            <w:pPr>
              <w:spacing w:after="20"/>
              <w:ind w:left="20"/>
              <w:jc w:val="both"/>
            </w:pPr>
            <w:r>
              <w:rPr>
                <w:rFonts w:ascii="Times New Roman"/>
                <w:b w:val="false"/>
                <w:i w:val="false"/>
                <w:color w:val="000000"/>
                <w:sz w:val="20"/>
              </w:rPr>
              <w:t>
11) характеризующаяся особенной стойкостью и способностью к бионакоплению;</w:t>
            </w:r>
          </w:p>
          <w:p>
            <w:pPr>
              <w:spacing w:after="20"/>
              <w:ind w:left="20"/>
              <w:jc w:val="both"/>
            </w:pPr>
            <w:r>
              <w:rPr>
                <w:rFonts w:ascii="Times New Roman"/>
                <w:b w:val="false"/>
                <w:i w:val="false"/>
                <w:color w:val="000000"/>
                <w:sz w:val="20"/>
              </w:rPr>
              <w:t>
12) уровень опасности которой соответствует уровню опасности таких соединений, как, в частности, "разрушители" эндокринной системы, по которым существует научно обоснованное доказательство их вероятного серьезного воздействия на окружающую среду и здоровье человека.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классификация химической продукции, опасной для окружающей среды:</w:t>
            </w:r>
          </w:p>
          <w:p>
            <w:pPr>
              <w:spacing w:after="20"/>
              <w:ind w:left="20"/>
              <w:jc w:val="both"/>
            </w:pPr>
            <w:r>
              <w:rPr>
                <w:rFonts w:ascii="Times New Roman"/>
                <w:b w:val="false"/>
                <w:i w:val="false"/>
                <w:color w:val="000000"/>
                <w:sz w:val="20"/>
              </w:rPr>
              <w:t>
1) разрушающая озоновый слой;</w:t>
            </w:r>
          </w:p>
          <w:p>
            <w:pPr>
              <w:spacing w:after="20"/>
              <w:ind w:left="20"/>
              <w:jc w:val="both"/>
            </w:pPr>
            <w:r>
              <w:rPr>
                <w:rFonts w:ascii="Times New Roman"/>
                <w:b w:val="false"/>
                <w:i w:val="false"/>
                <w:color w:val="000000"/>
                <w:sz w:val="20"/>
              </w:rPr>
              <w:t>
2) обладающая острой и хронической токсичностью для водной среды;</w:t>
            </w:r>
          </w:p>
          <w:p>
            <w:pPr>
              <w:spacing w:after="20"/>
              <w:ind w:left="20"/>
              <w:jc w:val="both"/>
            </w:pPr>
            <w:r>
              <w:rPr>
                <w:rFonts w:ascii="Times New Roman"/>
                <w:b w:val="false"/>
                <w:i w:val="false"/>
                <w:color w:val="000000"/>
                <w:sz w:val="20"/>
              </w:rPr>
              <w:t>
3) обладающая способностью к биоаккумуляции;</w:t>
            </w:r>
          </w:p>
          <w:p>
            <w:pPr>
              <w:spacing w:after="20"/>
              <w:ind w:left="20"/>
              <w:jc w:val="both"/>
            </w:pPr>
            <w:r>
              <w:rPr>
                <w:rFonts w:ascii="Times New Roman"/>
                <w:b w:val="false"/>
                <w:i w:val="false"/>
                <w:color w:val="000000"/>
                <w:sz w:val="20"/>
              </w:rPr>
              <w:t>
4) устойчивая к процессам разложения и трансформации (персистентности);</w:t>
            </w:r>
          </w:p>
          <w:p>
            <w:pPr>
              <w:spacing w:after="20"/>
              <w:ind w:left="20"/>
              <w:jc w:val="both"/>
            </w:pPr>
            <w:r>
              <w:rPr>
                <w:rFonts w:ascii="Times New Roman"/>
                <w:b w:val="false"/>
                <w:i w:val="false"/>
                <w:color w:val="000000"/>
                <w:sz w:val="20"/>
              </w:rPr>
              <w:t>
5) обладающая токсичностью для почвы.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химической продукции основным элементам классификации химической продукции, опасной в отношении водной среды:</w:t>
            </w:r>
          </w:p>
          <w:p>
            <w:pPr>
              <w:spacing w:after="20"/>
              <w:ind w:left="20"/>
              <w:jc w:val="both"/>
            </w:pPr>
            <w:r>
              <w:rPr>
                <w:rFonts w:ascii="Times New Roman"/>
                <w:b w:val="false"/>
                <w:i w:val="false"/>
                <w:color w:val="000000"/>
                <w:sz w:val="20"/>
              </w:rPr>
              <w:t>
1) острая токсичность в водной среде;</w:t>
            </w:r>
          </w:p>
          <w:p>
            <w:pPr>
              <w:spacing w:after="20"/>
              <w:ind w:left="20"/>
              <w:jc w:val="both"/>
            </w:pPr>
            <w:r>
              <w:rPr>
                <w:rFonts w:ascii="Times New Roman"/>
                <w:b w:val="false"/>
                <w:i w:val="false"/>
                <w:color w:val="000000"/>
                <w:sz w:val="20"/>
              </w:rPr>
              <w:t>
2) хроническая токсичность в водной среде;</w:t>
            </w:r>
          </w:p>
          <w:p>
            <w:pPr>
              <w:spacing w:after="20"/>
              <w:ind w:left="20"/>
              <w:jc w:val="both"/>
            </w:pPr>
            <w:r>
              <w:rPr>
                <w:rFonts w:ascii="Times New Roman"/>
                <w:b w:val="false"/>
                <w:i w:val="false"/>
                <w:color w:val="000000"/>
                <w:sz w:val="20"/>
              </w:rPr>
              <w:t>
3) потенциал биоаккумуляции или фактическая биоаккумуляция;</w:t>
            </w:r>
          </w:p>
          <w:p>
            <w:pPr>
              <w:spacing w:after="20"/>
              <w:ind w:left="20"/>
              <w:jc w:val="both"/>
            </w:pPr>
            <w:r>
              <w:rPr>
                <w:rFonts w:ascii="Times New Roman"/>
                <w:b w:val="false"/>
                <w:i w:val="false"/>
                <w:color w:val="000000"/>
                <w:sz w:val="20"/>
              </w:rPr>
              <w:t>
4) разложение (биотическое и абиотическое) – применительно к органическим химическим веществам.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определение химической продукции относящейся к продукции, разрушающей озоновый слой, если в ее составе содержится хотя бы одно вещество из перечня химических веществ, разрушающих озоновый слой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классификации химической продукции, опасной в отношении почв, на основе комплекса показателей опасности химической продукции, которые включают в себя:</w:t>
            </w:r>
          </w:p>
          <w:p>
            <w:pPr>
              <w:spacing w:after="20"/>
              <w:ind w:left="20"/>
              <w:jc w:val="both"/>
            </w:pPr>
            <w:r>
              <w:rPr>
                <w:rFonts w:ascii="Times New Roman"/>
                <w:b w:val="false"/>
                <w:i w:val="false"/>
                <w:color w:val="000000"/>
                <w:sz w:val="20"/>
              </w:rPr>
              <w:t>
1) токсичность для почвенных организмов;</w:t>
            </w:r>
          </w:p>
          <w:p>
            <w:pPr>
              <w:spacing w:after="20"/>
              <w:ind w:left="20"/>
              <w:jc w:val="both"/>
            </w:pPr>
            <w:r>
              <w:rPr>
                <w:rFonts w:ascii="Times New Roman"/>
                <w:b w:val="false"/>
                <w:i w:val="false"/>
                <w:color w:val="000000"/>
                <w:sz w:val="20"/>
              </w:rPr>
              <w:t>
2) персистентность в почве;</w:t>
            </w:r>
          </w:p>
          <w:p>
            <w:pPr>
              <w:spacing w:after="20"/>
              <w:ind w:left="20"/>
              <w:jc w:val="both"/>
            </w:pPr>
            <w:r>
              <w:rPr>
                <w:rFonts w:ascii="Times New Roman"/>
                <w:b w:val="false"/>
                <w:i w:val="false"/>
                <w:color w:val="000000"/>
                <w:sz w:val="20"/>
              </w:rPr>
              <w:t>
3) персистентность в растениях;</w:t>
            </w:r>
          </w:p>
          <w:p>
            <w:pPr>
              <w:spacing w:after="20"/>
              <w:ind w:left="20"/>
              <w:jc w:val="both"/>
            </w:pPr>
            <w:r>
              <w:rPr>
                <w:rFonts w:ascii="Times New Roman"/>
                <w:b w:val="false"/>
                <w:i w:val="false"/>
                <w:color w:val="000000"/>
                <w:sz w:val="20"/>
              </w:rPr>
              <w:t>
4) способность к миграции химической продукции;</w:t>
            </w:r>
          </w:p>
          <w:p>
            <w:pPr>
              <w:spacing w:after="20"/>
              <w:ind w:left="20"/>
              <w:jc w:val="both"/>
            </w:pPr>
            <w:r>
              <w:rPr>
                <w:rFonts w:ascii="Times New Roman"/>
                <w:b w:val="false"/>
                <w:i w:val="false"/>
                <w:color w:val="000000"/>
                <w:sz w:val="20"/>
              </w:rPr>
              <w:t>
5) влияние на пищевую ценность сельскохозяйственной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классификация химической продукции по опасным свойствам на основе данных, полученных в результате исследований (испытаний) химических веществ, входящих в ее состав, или смесей в целом, или по результатам данных, полученных с помощью расчетных методов для химической продукции, представляющей собой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установленного класса (подкласс, тип) опасности химической продукции изготовителем (уполномоченным изготовителем лицом), импортером этой продукции в паспорте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принципов классификации смесей по опасным свойствам:</w:t>
            </w:r>
          </w:p>
          <w:p>
            <w:pPr>
              <w:spacing w:after="20"/>
              <w:ind w:left="20"/>
              <w:jc w:val="both"/>
            </w:pPr>
            <w:r>
              <w:rPr>
                <w:rFonts w:ascii="Times New Roman"/>
                <w:b w:val="false"/>
                <w:i w:val="false"/>
                <w:color w:val="000000"/>
                <w:sz w:val="20"/>
              </w:rPr>
              <w:t>
1) при наличии данных исследований (испытаний) по химическим веществам в составе смесей или смесям в целом классификация проводится на основе этих данных;</w:t>
            </w:r>
          </w:p>
          <w:p>
            <w:pPr>
              <w:spacing w:after="20"/>
              <w:ind w:left="20"/>
              <w:jc w:val="both"/>
            </w:pPr>
            <w:r>
              <w:rPr>
                <w:rFonts w:ascii="Times New Roman"/>
                <w:b w:val="false"/>
                <w:i w:val="false"/>
                <w:color w:val="000000"/>
                <w:sz w:val="20"/>
              </w:rPr>
              <w:t>
2) при отсутствии данных исследований (испытаний) по химическим веществам в составе смесей или смесям в целом используются методы интерполяции или экстраполяции (методы оценки опасности с использованием имеющихся данных по смесям, аналогичным классифицируемым);</w:t>
            </w:r>
          </w:p>
          <w:p>
            <w:pPr>
              <w:spacing w:after="20"/>
              <w:ind w:left="20"/>
              <w:jc w:val="both"/>
            </w:pPr>
            <w:r>
              <w:rPr>
                <w:rFonts w:ascii="Times New Roman"/>
                <w:b w:val="false"/>
                <w:i w:val="false"/>
                <w:color w:val="000000"/>
                <w:sz w:val="20"/>
              </w:rPr>
              <w:t>
при отсутствии данных исследований (испытаний) по смесям в целом и отсутствии информации, которая позволила бы применить методы интерполяции или экстраполяции, для классификации используются методы оценки опасности на основе данных по отдельным химическим веществам в составе смеси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классификации химической продукции при изменении ее компонентного состава, если при таком изменении концентрация входящих в ее состав химических веществ по отношению к их исходной концентрации превысила допустимые отклонения содержания опасных химических веществ в составе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требований безопасности обращения химической продукции нижеследующему:</w:t>
            </w:r>
          </w:p>
          <w:p>
            <w:pPr>
              <w:spacing w:after="20"/>
              <w:ind w:left="20"/>
              <w:jc w:val="both"/>
            </w:pPr>
            <w:r>
              <w:rPr>
                <w:rFonts w:ascii="Times New Roman"/>
                <w:b w:val="false"/>
                <w:i w:val="false"/>
                <w:color w:val="000000"/>
                <w:sz w:val="20"/>
              </w:rPr>
              <w:t>
1) соблюдения изготовителем (уполномоченным изготовителем лицом), импортером химической продукции установленных к ней требований безопасности;</w:t>
            </w:r>
          </w:p>
          <w:p>
            <w:pPr>
              <w:spacing w:after="20"/>
              <w:ind w:left="20"/>
              <w:jc w:val="both"/>
            </w:pPr>
            <w:r>
              <w:rPr>
                <w:rFonts w:ascii="Times New Roman"/>
                <w:b w:val="false"/>
                <w:i w:val="false"/>
                <w:color w:val="000000"/>
                <w:sz w:val="20"/>
              </w:rPr>
              <w:t>
2) использования (применения) потребителем (приобретателем) химической продукции по назначению;</w:t>
            </w:r>
          </w:p>
          <w:p>
            <w:pPr>
              <w:spacing w:after="20"/>
              <w:ind w:left="20"/>
              <w:jc w:val="both"/>
            </w:pPr>
            <w:r>
              <w:rPr>
                <w:rFonts w:ascii="Times New Roman"/>
                <w:b w:val="false"/>
                <w:i w:val="false"/>
                <w:color w:val="000000"/>
                <w:sz w:val="20"/>
              </w:rPr>
              <w:t>
3) оценки соответствия химической продукции требованиям безопасности;</w:t>
            </w:r>
          </w:p>
          <w:p>
            <w:pPr>
              <w:spacing w:after="20"/>
              <w:ind w:left="20"/>
              <w:jc w:val="both"/>
            </w:pPr>
            <w:r>
              <w:rPr>
                <w:rFonts w:ascii="Times New Roman"/>
                <w:b w:val="false"/>
                <w:i w:val="false"/>
                <w:color w:val="000000"/>
                <w:sz w:val="20"/>
              </w:rPr>
              <w:t>
4) реализации изготовителем (уполномоченным изготовителем лицом), импортером и потребителем (приобретателем) химической продукции предупреждающих мер при обращении с химической продукцией;</w:t>
            </w:r>
          </w:p>
          <w:p>
            <w:pPr>
              <w:spacing w:after="20"/>
              <w:ind w:left="20"/>
              <w:jc w:val="both"/>
            </w:pPr>
            <w:r>
              <w:rPr>
                <w:rFonts w:ascii="Times New Roman"/>
                <w:b w:val="false"/>
                <w:i w:val="false"/>
                <w:color w:val="000000"/>
                <w:sz w:val="20"/>
              </w:rPr>
              <w:t>
5) замены опасных химических веществ на химические вещества более низкого класса опасности или на не классифицированные как опасные (при возможности);</w:t>
            </w:r>
          </w:p>
          <w:p>
            <w:pPr>
              <w:spacing w:after="20"/>
              <w:ind w:left="20"/>
              <w:jc w:val="both"/>
            </w:pPr>
            <w:r>
              <w:rPr>
                <w:rFonts w:ascii="Times New Roman"/>
                <w:b w:val="false"/>
                <w:i w:val="false"/>
                <w:color w:val="000000"/>
                <w:sz w:val="20"/>
              </w:rPr>
              <w:t>
6) информирования потребителя (приобретателя) об опасных свойствах химической продукции в отношении жизни и здоровья человека, имущества, окружающей среды, жизни и здоровья животных и растений, а также о мерах по ее безопасному обращению, в том числе по истечению срока годности или непригодности использования;</w:t>
            </w:r>
          </w:p>
          <w:p>
            <w:pPr>
              <w:spacing w:after="20"/>
              <w:ind w:left="20"/>
              <w:jc w:val="both"/>
            </w:pPr>
            <w:r>
              <w:rPr>
                <w:rFonts w:ascii="Times New Roman"/>
                <w:b w:val="false"/>
                <w:i w:val="false"/>
                <w:color w:val="000000"/>
                <w:sz w:val="20"/>
              </w:rPr>
              <w:t>
информирования потребителя (приобретателя) о методах безопасной утилизации и нейтрализации химической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включающее в себя следующие сведения:</w:t>
            </w:r>
          </w:p>
          <w:p>
            <w:pPr>
              <w:spacing w:after="20"/>
              <w:ind w:left="20"/>
              <w:jc w:val="both"/>
            </w:pPr>
            <w:r>
              <w:rPr>
                <w:rFonts w:ascii="Times New Roman"/>
                <w:b w:val="false"/>
                <w:i w:val="false"/>
                <w:color w:val="000000"/>
                <w:sz w:val="20"/>
              </w:rPr>
              <w:t>
1) наименование химической продукции, установленное при ее идентификации (наименование химической продукции дополнительно может включать торговое (фирменное) наименование);</w:t>
            </w:r>
          </w:p>
          <w:p>
            <w:pPr>
              <w:spacing w:after="20"/>
              <w:ind w:left="20"/>
              <w:jc w:val="both"/>
            </w:pPr>
            <w:r>
              <w:rPr>
                <w:rFonts w:ascii="Times New Roman"/>
                <w:b w:val="false"/>
                <w:i w:val="false"/>
                <w:color w:val="000000"/>
                <w:sz w:val="20"/>
              </w:rPr>
              <w:t>
2) наименование, местонахождение (адрес юридического лица), включая страну, и номер телефона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3) наименование химических веществ и смесей, классифицированных как опасные и содержащихся в составе химической продукции в количествах, превышающих значения концентраций, указанные в стандартах, включенных в перечень международных и региональных (межгосударственных) стандартов, при их отсутствии ‒ национальных (государственных) стандартов;</w:t>
            </w:r>
          </w:p>
          <w:p>
            <w:pPr>
              <w:spacing w:after="20"/>
              <w:ind w:left="20"/>
              <w:jc w:val="both"/>
            </w:pPr>
            <w:r>
              <w:rPr>
                <w:rFonts w:ascii="Times New Roman"/>
                <w:b w:val="false"/>
                <w:i w:val="false"/>
                <w:color w:val="000000"/>
                <w:sz w:val="20"/>
              </w:rPr>
              <w:t>
4) условия хранения и гарантийные обязательства изготовителя (срок годности, срок хранения);</w:t>
            </w:r>
          </w:p>
          <w:p>
            <w:pPr>
              <w:spacing w:after="20"/>
              <w:ind w:left="20"/>
              <w:jc w:val="both"/>
            </w:pPr>
            <w:r>
              <w:rPr>
                <w:rFonts w:ascii="Times New Roman"/>
                <w:b w:val="false"/>
                <w:i w:val="false"/>
                <w:color w:val="000000"/>
                <w:sz w:val="20"/>
              </w:rPr>
              <w:t>
5) обозначение документа, в соответствии с которым изготовлена химическая продукция (при наличии);</w:t>
            </w:r>
          </w:p>
          <w:p>
            <w:pPr>
              <w:spacing w:after="20"/>
              <w:ind w:left="20"/>
              <w:jc w:val="both"/>
            </w:pPr>
            <w:r>
              <w:rPr>
                <w:rFonts w:ascii="Times New Roman"/>
                <w:b w:val="false"/>
                <w:i w:val="false"/>
                <w:color w:val="000000"/>
                <w:sz w:val="20"/>
              </w:rPr>
              <w:t>
7) 6) информация об опасных свойствах химической продукции, в том числе предупредительная маркировка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химической продукции, на русском языке и при наличии соответствующих требований в законодательстве государств-членов на государственных языках государства-члена, на территории которого реализуется химическая продукция.</w:t>
            </w:r>
          </w:p>
          <w:p>
            <w:pPr>
              <w:spacing w:after="20"/>
              <w:ind w:left="20"/>
              <w:jc w:val="both"/>
            </w:pPr>
            <w:r>
              <w:rPr>
                <w:rFonts w:ascii="Times New Roman"/>
                <w:b w:val="false"/>
                <w:i w:val="false"/>
                <w:color w:val="000000"/>
                <w:sz w:val="20"/>
              </w:rPr>
              <w:t>
Маркировка четкая и легкочитаемая, устойчивая к механическому воздействию, к воздействию химических веществ, климатических факторов и сохраняется до момента полного использования и (или) утилизации (переработки) химической продукции.</w:t>
            </w:r>
          </w:p>
          <w:p>
            <w:pPr>
              <w:spacing w:after="20"/>
              <w:ind w:left="20"/>
              <w:jc w:val="both"/>
            </w:pPr>
            <w:r>
              <w:rPr>
                <w:rFonts w:ascii="Times New Roman"/>
                <w:b w:val="false"/>
                <w:i w:val="false"/>
                <w:color w:val="000000"/>
                <w:sz w:val="20"/>
              </w:rPr>
              <w:t>
Маркировка химической продукции наносится непосредственно на упаковку продукции или на ее этикетку, прикрепляемую к упаковке. Элементы предупредительной маркировки выделяются по сравнению с иной информацией, содержащейся в маркировке химической продукции.</w:t>
            </w:r>
          </w:p>
          <w:p>
            <w:pPr>
              <w:spacing w:after="20"/>
              <w:ind w:left="20"/>
              <w:jc w:val="both"/>
            </w:pPr>
            <w:r>
              <w:rPr>
                <w:rFonts w:ascii="Times New Roman"/>
                <w:b w:val="false"/>
                <w:i w:val="false"/>
                <w:color w:val="000000"/>
                <w:sz w:val="20"/>
              </w:rPr>
              <w:t>
Если места для нанесения маркировки на упаковке недостаточно, химическая продукция сопровождается ярлыком или вкладышем.</w:t>
            </w:r>
          </w:p>
          <w:p>
            <w:pPr>
              <w:spacing w:after="20"/>
              <w:ind w:left="20"/>
              <w:jc w:val="both"/>
            </w:pPr>
            <w:r>
              <w:rPr>
                <w:rFonts w:ascii="Times New Roman"/>
                <w:b w:val="false"/>
                <w:i w:val="false"/>
                <w:color w:val="000000"/>
                <w:sz w:val="20"/>
              </w:rPr>
              <w:t>
Предупредительная маркировка наносится в виде знака опасности, символа опасности, сигнального слова и содержит описание мер по предупреждению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изготовителем (уполномоченным изготовителем лицом), импортером химической продукции, выпускающих химическую продукцию в обращение на территории Евразийского экономического союза.</w:t>
            </w:r>
          </w:p>
          <w:p>
            <w:pPr>
              <w:spacing w:after="20"/>
              <w:ind w:left="20"/>
              <w:jc w:val="both"/>
            </w:pPr>
            <w:r>
              <w:rPr>
                <w:rFonts w:ascii="Times New Roman"/>
                <w:b w:val="false"/>
                <w:i w:val="false"/>
                <w:color w:val="000000"/>
                <w:sz w:val="20"/>
              </w:rPr>
              <w:t>
Паспорт безопасности при поставках химической продукции включается в состав сопроводительной документации на химическую продукцию, который оформляется до выпуска химической продукции в обращение на территории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обновление и переиздание паспорта безопасности химической продукции в случаях:</w:t>
            </w:r>
          </w:p>
          <w:p>
            <w:pPr>
              <w:spacing w:after="20"/>
              <w:ind w:left="20"/>
              <w:jc w:val="both"/>
            </w:pPr>
            <w:r>
              <w:rPr>
                <w:rFonts w:ascii="Times New Roman"/>
                <w:b w:val="false"/>
                <w:i w:val="false"/>
                <w:color w:val="000000"/>
                <w:sz w:val="20"/>
              </w:rPr>
              <w:t>
1) изменение наименования и адреса изготовителя (уполномоченного изготовителем лица), импортера химической продукции;</w:t>
            </w:r>
          </w:p>
          <w:p>
            <w:pPr>
              <w:spacing w:after="20"/>
              <w:ind w:left="20"/>
              <w:jc w:val="both"/>
            </w:pPr>
            <w:r>
              <w:rPr>
                <w:rFonts w:ascii="Times New Roman"/>
                <w:b w:val="false"/>
                <w:i w:val="false"/>
                <w:color w:val="000000"/>
                <w:sz w:val="20"/>
              </w:rPr>
              <w:t xml:space="preserve">
2) изменение состава химической продукции, приводящее к повторной классификации этой продукции; </w:t>
            </w:r>
          </w:p>
          <w:p>
            <w:pPr>
              <w:spacing w:after="20"/>
              <w:ind w:left="20"/>
              <w:jc w:val="both"/>
            </w:pPr>
            <w:r>
              <w:rPr>
                <w:rFonts w:ascii="Times New Roman"/>
                <w:b w:val="false"/>
                <w:i w:val="false"/>
                <w:color w:val="000000"/>
                <w:sz w:val="20"/>
              </w:rPr>
              <w:t>
3) поступление дополнительной или новой информации, повышающей полноту и достоверность данных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содержащего следующую информацию о характеристиках и безопасной эксплуатации оборудования:</w:t>
            </w:r>
          </w:p>
          <w:p>
            <w:pPr>
              <w:spacing w:after="20"/>
              <w:ind w:left="20"/>
              <w:jc w:val="both"/>
            </w:pPr>
            <w:r>
              <w:rPr>
                <w:rFonts w:ascii="Times New Roman"/>
                <w:b w:val="false"/>
                <w:i w:val="false"/>
                <w:color w:val="000000"/>
                <w:sz w:val="20"/>
              </w:rPr>
              <w:t>
1) основные сведения об оборудовании (наименование и место нахождения (адрес) изготовителя (уполномоченного изготовителем лица), обозначение документа, в соответствии с которым произведено оборудование);</w:t>
            </w:r>
          </w:p>
          <w:p>
            <w:pPr>
              <w:spacing w:after="20"/>
              <w:ind w:left="20"/>
              <w:jc w:val="both"/>
            </w:pPr>
            <w:r>
              <w:rPr>
                <w:rFonts w:ascii="Times New Roman"/>
                <w:b w:val="false"/>
                <w:i w:val="false"/>
                <w:color w:val="000000"/>
                <w:sz w:val="20"/>
              </w:rPr>
              <w:t>
2) основные технические данные оборудования;</w:t>
            </w:r>
          </w:p>
          <w:p>
            <w:pPr>
              <w:spacing w:after="20"/>
              <w:ind w:left="20"/>
              <w:jc w:val="both"/>
            </w:pPr>
            <w:r>
              <w:rPr>
                <w:rFonts w:ascii="Times New Roman"/>
                <w:b w:val="false"/>
                <w:i w:val="false"/>
                <w:color w:val="000000"/>
                <w:sz w:val="20"/>
              </w:rPr>
              <w:t>
3) комплектность оборудования;</w:t>
            </w:r>
          </w:p>
          <w:p>
            <w:pPr>
              <w:spacing w:after="20"/>
              <w:ind w:left="20"/>
              <w:jc w:val="both"/>
            </w:pPr>
            <w:r>
              <w:rPr>
                <w:rFonts w:ascii="Times New Roman"/>
                <w:b w:val="false"/>
                <w:i w:val="false"/>
                <w:color w:val="000000"/>
                <w:sz w:val="20"/>
              </w:rPr>
              <w:t>
4) сведения о приемке оборудования;</w:t>
            </w:r>
          </w:p>
          <w:p>
            <w:pPr>
              <w:spacing w:after="20"/>
              <w:ind w:left="20"/>
              <w:jc w:val="both"/>
            </w:pPr>
            <w:r>
              <w:rPr>
                <w:rFonts w:ascii="Times New Roman"/>
                <w:b w:val="false"/>
                <w:i w:val="false"/>
                <w:color w:val="000000"/>
                <w:sz w:val="20"/>
              </w:rPr>
              <w:t>
5) сведения об упаковке оборудования;</w:t>
            </w:r>
          </w:p>
          <w:p>
            <w:pPr>
              <w:spacing w:after="20"/>
              <w:ind w:left="20"/>
              <w:jc w:val="both"/>
            </w:pPr>
            <w:r>
              <w:rPr>
                <w:rFonts w:ascii="Times New Roman"/>
                <w:b w:val="false"/>
                <w:i w:val="false"/>
                <w:color w:val="000000"/>
                <w:sz w:val="20"/>
              </w:rPr>
              <w:t>
6) гарантийные обязательства изготовителя оборудования;</w:t>
            </w:r>
          </w:p>
          <w:p>
            <w:pPr>
              <w:spacing w:after="20"/>
              <w:ind w:left="20"/>
              <w:jc w:val="both"/>
            </w:pPr>
            <w:r>
              <w:rPr>
                <w:rFonts w:ascii="Times New Roman"/>
                <w:b w:val="false"/>
                <w:i w:val="false"/>
                <w:color w:val="000000"/>
                <w:sz w:val="20"/>
              </w:rPr>
              <w:t>
7) сведения о хранении оборудования;</w:t>
            </w:r>
          </w:p>
          <w:p>
            <w:pPr>
              <w:spacing w:after="20"/>
              <w:ind w:left="20"/>
              <w:jc w:val="both"/>
            </w:pPr>
            <w:r>
              <w:rPr>
                <w:rFonts w:ascii="Times New Roman"/>
                <w:b w:val="false"/>
                <w:i w:val="false"/>
                <w:color w:val="000000"/>
                <w:sz w:val="20"/>
              </w:rPr>
              <w:t>
8) сведения о перевозке оборудования;</w:t>
            </w:r>
          </w:p>
          <w:p>
            <w:pPr>
              <w:spacing w:after="20"/>
              <w:ind w:left="20"/>
              <w:jc w:val="both"/>
            </w:pPr>
            <w:r>
              <w:rPr>
                <w:rFonts w:ascii="Times New Roman"/>
                <w:b w:val="false"/>
                <w:i w:val="false"/>
                <w:color w:val="000000"/>
                <w:sz w:val="20"/>
              </w:rPr>
              <w:t>
9) сведения о консервации и расконсервации оборудования при эксплуатации;</w:t>
            </w:r>
          </w:p>
          <w:p>
            <w:pPr>
              <w:spacing w:after="20"/>
              <w:ind w:left="20"/>
              <w:jc w:val="both"/>
            </w:pPr>
            <w:r>
              <w:rPr>
                <w:rFonts w:ascii="Times New Roman"/>
                <w:b w:val="false"/>
                <w:i w:val="false"/>
                <w:color w:val="000000"/>
                <w:sz w:val="20"/>
              </w:rPr>
              <w:t>
10) рекомендуемый тип покрытия;</w:t>
            </w:r>
          </w:p>
          <w:p>
            <w:pPr>
              <w:spacing w:after="20"/>
              <w:ind w:left="20"/>
              <w:jc w:val="both"/>
            </w:pPr>
            <w:r>
              <w:rPr>
                <w:rFonts w:ascii="Times New Roman"/>
                <w:b w:val="false"/>
                <w:i w:val="false"/>
                <w:color w:val="000000"/>
                <w:sz w:val="20"/>
              </w:rPr>
              <w:t>
11) сведения об учете неисправностей оборудования при эксплуатации;</w:t>
            </w:r>
          </w:p>
          <w:p>
            <w:pPr>
              <w:spacing w:after="20"/>
              <w:ind w:left="20"/>
              <w:jc w:val="both"/>
            </w:pPr>
            <w:r>
              <w:rPr>
                <w:rFonts w:ascii="Times New Roman"/>
                <w:b w:val="false"/>
                <w:i w:val="false"/>
                <w:color w:val="000000"/>
                <w:sz w:val="20"/>
              </w:rPr>
              <w:t>
12) сведения об учете технического обслуживания оборудования;</w:t>
            </w:r>
          </w:p>
          <w:p>
            <w:pPr>
              <w:spacing w:after="20"/>
              <w:ind w:left="20"/>
              <w:jc w:val="both"/>
            </w:pPr>
            <w:r>
              <w:rPr>
                <w:rFonts w:ascii="Times New Roman"/>
                <w:b w:val="false"/>
                <w:i w:val="false"/>
                <w:color w:val="000000"/>
                <w:sz w:val="20"/>
              </w:rPr>
              <w:t>
13) сведения о ремонте, включая перечень деталей и частей оборудования, которые подвержены большим нагрузкам в процессе эксплуатации оборудования, а также срок и случаи их замены;</w:t>
            </w:r>
          </w:p>
          <w:p>
            <w:pPr>
              <w:spacing w:after="20"/>
              <w:ind w:left="20"/>
              <w:jc w:val="both"/>
            </w:pPr>
            <w:r>
              <w:rPr>
                <w:rFonts w:ascii="Times New Roman"/>
                <w:b w:val="false"/>
                <w:i w:val="false"/>
                <w:color w:val="000000"/>
                <w:sz w:val="20"/>
              </w:rPr>
              <w:t>
14) инструкция по монтажу оборудования;</w:t>
            </w:r>
          </w:p>
          <w:p>
            <w:pPr>
              <w:spacing w:after="20"/>
              <w:ind w:left="20"/>
              <w:jc w:val="both"/>
            </w:pPr>
            <w:r>
              <w:rPr>
                <w:rFonts w:ascii="Times New Roman"/>
                <w:b w:val="false"/>
                <w:i w:val="false"/>
                <w:color w:val="000000"/>
                <w:sz w:val="20"/>
              </w:rPr>
              <w:t>
15) правила безопасной эксплуатации оборудования;</w:t>
            </w:r>
          </w:p>
          <w:p>
            <w:pPr>
              <w:spacing w:after="20"/>
              <w:ind w:left="20"/>
              <w:jc w:val="both"/>
            </w:pPr>
            <w:r>
              <w:rPr>
                <w:rFonts w:ascii="Times New Roman"/>
                <w:b w:val="false"/>
                <w:i w:val="false"/>
                <w:color w:val="000000"/>
                <w:sz w:val="20"/>
              </w:rPr>
              <w:t>
16) инструкция по осмотру и проверке оборудования перед началом эксплуатации;</w:t>
            </w:r>
          </w:p>
          <w:p>
            <w:pPr>
              <w:spacing w:after="20"/>
              <w:ind w:left="20"/>
              <w:jc w:val="both"/>
            </w:pPr>
            <w:r>
              <w:rPr>
                <w:rFonts w:ascii="Times New Roman"/>
                <w:b w:val="false"/>
                <w:i w:val="false"/>
                <w:color w:val="000000"/>
                <w:sz w:val="20"/>
              </w:rPr>
              <w:t>
17) инструкция по осмотру, обслуживанию и ремонту оборудования;</w:t>
            </w:r>
          </w:p>
          <w:p>
            <w:pPr>
              <w:spacing w:after="20"/>
              <w:ind w:left="20"/>
              <w:jc w:val="both"/>
            </w:pPr>
            <w:r>
              <w:rPr>
                <w:rFonts w:ascii="Times New Roman"/>
                <w:b w:val="false"/>
                <w:i w:val="false"/>
                <w:color w:val="000000"/>
                <w:sz w:val="20"/>
              </w:rPr>
              <w:t>
18) сведения об утилизации оборудования;</w:t>
            </w:r>
          </w:p>
          <w:p>
            <w:pPr>
              <w:spacing w:after="20"/>
              <w:ind w:left="20"/>
              <w:jc w:val="both"/>
            </w:pPr>
            <w:r>
              <w:rPr>
                <w:rFonts w:ascii="Times New Roman"/>
                <w:b w:val="false"/>
                <w:i w:val="false"/>
                <w:color w:val="000000"/>
                <w:sz w:val="20"/>
              </w:rPr>
              <w:t>
19) месяц и год производства оборудования;</w:t>
            </w:r>
          </w:p>
          <w:p>
            <w:pPr>
              <w:spacing w:after="20"/>
              <w:ind w:left="20"/>
              <w:jc w:val="both"/>
            </w:pPr>
            <w:r>
              <w:rPr>
                <w:rFonts w:ascii="Times New Roman"/>
                <w:b w:val="false"/>
                <w:i w:val="false"/>
                <w:color w:val="000000"/>
                <w:sz w:val="20"/>
              </w:rPr>
              <w:t>
20) сведения о возрастных группах (включая ограничения по весу и росту);</w:t>
            </w:r>
          </w:p>
          <w:p>
            <w:pPr>
              <w:spacing w:after="20"/>
              <w:ind w:left="20"/>
              <w:jc w:val="both"/>
            </w:pPr>
            <w:r>
              <w:rPr>
                <w:rFonts w:ascii="Times New Roman"/>
                <w:b w:val="false"/>
                <w:i w:val="false"/>
                <w:color w:val="000000"/>
                <w:sz w:val="20"/>
              </w:rPr>
              <w:t>
21) назначенный срок службы;</w:t>
            </w:r>
          </w:p>
          <w:p>
            <w:pPr>
              <w:spacing w:after="20"/>
              <w:ind w:left="20"/>
              <w:jc w:val="both"/>
            </w:pPr>
            <w:r>
              <w:rPr>
                <w:rFonts w:ascii="Times New Roman"/>
                <w:b w:val="false"/>
                <w:i w:val="false"/>
                <w:color w:val="000000"/>
                <w:sz w:val="20"/>
              </w:rPr>
              <w:t>
22) особые отметки (при необходимости);</w:t>
            </w:r>
          </w:p>
          <w:p>
            <w:pPr>
              <w:spacing w:after="20"/>
              <w:ind w:left="20"/>
              <w:jc w:val="both"/>
            </w:pPr>
            <w:r>
              <w:rPr>
                <w:rFonts w:ascii="Times New Roman"/>
                <w:b w:val="false"/>
                <w:i w:val="false"/>
                <w:color w:val="000000"/>
                <w:sz w:val="20"/>
              </w:rPr>
              <w:t>
23) фото или графический рисунок (при необходимости цветные) оборудования;</w:t>
            </w:r>
          </w:p>
          <w:p>
            <w:pPr>
              <w:spacing w:after="20"/>
              <w:ind w:left="20"/>
              <w:jc w:val="both"/>
            </w:pPr>
            <w:r>
              <w:rPr>
                <w:rFonts w:ascii="Times New Roman"/>
                <w:b w:val="false"/>
                <w:i w:val="false"/>
                <w:color w:val="000000"/>
                <w:sz w:val="20"/>
              </w:rPr>
              <w:t>
24) чертеж общего вида оборудования с указанием основных размеров;</w:t>
            </w:r>
          </w:p>
          <w:p>
            <w:pPr>
              <w:spacing w:after="20"/>
              <w:ind w:left="20"/>
              <w:jc w:val="both"/>
            </w:pPr>
            <w:r>
              <w:rPr>
                <w:rFonts w:ascii="Times New Roman"/>
                <w:b w:val="false"/>
                <w:i w:val="false"/>
                <w:color w:val="000000"/>
                <w:sz w:val="20"/>
              </w:rPr>
              <w:t>
25) схема сборки оборудования;</w:t>
            </w:r>
          </w:p>
          <w:p>
            <w:pPr>
              <w:spacing w:after="20"/>
              <w:ind w:left="20"/>
              <w:jc w:val="both"/>
            </w:pPr>
            <w:r>
              <w:rPr>
                <w:rFonts w:ascii="Times New Roman"/>
                <w:b w:val="false"/>
                <w:i w:val="false"/>
                <w:color w:val="000000"/>
                <w:sz w:val="20"/>
              </w:rPr>
              <w:t>
 схема (план) зоны падения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оборудования для детских игровых площадок на русском языке и при наличии соответствующих требований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при котором при применении в качестве ударопоглощающего покрытия на детской игровой площадке сыпучих материалов толщину такого покрытия увеличивают (по сравнению с необходимой толщиной) на величину, достаточную для компенсации вытеснения данного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перевозке и хранению оборудования для детских игровых площадок и его элементов с учетом требований безопасности и сведений, указанных в паспорте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оборудования для детских игровых площадок и покрытия требованиям безопасности, в том числе требованиям к гигиенической безопасности материалов, применяемых при производстве оборудования и покрытия для детских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наличие паспорта оборудования детских игровых площадок с информацией о характеристиках и безопасной эксплуатации оборудования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конструкции оборудования детских игровых площадок следующим параметрам:</w:t>
            </w:r>
          </w:p>
          <w:p>
            <w:pPr>
              <w:spacing w:after="20"/>
              <w:ind w:left="20"/>
              <w:jc w:val="both"/>
            </w:pPr>
            <w:r>
              <w:rPr>
                <w:rFonts w:ascii="Times New Roman"/>
                <w:b w:val="false"/>
                <w:i w:val="false"/>
                <w:color w:val="000000"/>
                <w:sz w:val="20"/>
              </w:rPr>
              <w:t>
а) должна обеспечивать прочность, устойчивость, жесткость и неизменяемость;</w:t>
            </w:r>
          </w:p>
          <w:p>
            <w:pPr>
              <w:spacing w:after="20"/>
              <w:ind w:left="20"/>
              <w:jc w:val="both"/>
            </w:pPr>
            <w:r>
              <w:rPr>
                <w:rFonts w:ascii="Times New Roman"/>
                <w:b w:val="false"/>
                <w:i w:val="false"/>
                <w:color w:val="000000"/>
                <w:sz w:val="20"/>
              </w:rPr>
              <w:t>
б) должна иметь защиту от коррозии и старения с учетом степени агрессивности среды и стойкости используемых материалов;</w:t>
            </w:r>
          </w:p>
          <w:p>
            <w:pPr>
              <w:spacing w:after="20"/>
              <w:ind w:left="20"/>
              <w:jc w:val="both"/>
            </w:pPr>
            <w:r>
              <w:rPr>
                <w:rFonts w:ascii="Times New Roman"/>
                <w:b w:val="false"/>
                <w:i w:val="false"/>
                <w:color w:val="000000"/>
                <w:sz w:val="20"/>
              </w:rPr>
              <w:t>
в) не должна иметь выступающих элементов с острыми концами или кромками;</w:t>
            </w:r>
          </w:p>
          <w:p>
            <w:pPr>
              <w:spacing w:after="20"/>
              <w:ind w:left="20"/>
              <w:jc w:val="both"/>
            </w:pPr>
            <w:r>
              <w:rPr>
                <w:rFonts w:ascii="Times New Roman"/>
                <w:b w:val="false"/>
                <w:i w:val="false"/>
                <w:color w:val="000000"/>
                <w:sz w:val="20"/>
              </w:rPr>
              <w:t>
г) не должна иметь шероховатых поверхностей, способных нанести травму пользователю;</w:t>
            </w:r>
          </w:p>
          <w:p>
            <w:pPr>
              <w:spacing w:after="20"/>
              <w:ind w:left="20"/>
              <w:jc w:val="both"/>
            </w:pPr>
            <w:r>
              <w:rPr>
                <w:rFonts w:ascii="Times New Roman"/>
                <w:b w:val="false"/>
                <w:i w:val="false"/>
                <w:color w:val="000000"/>
                <w:sz w:val="20"/>
              </w:rPr>
              <w:t>
д) должна иметь защиту выступающих концов болтовых соединений;</w:t>
            </w:r>
          </w:p>
          <w:p>
            <w:pPr>
              <w:spacing w:after="20"/>
              <w:ind w:left="20"/>
              <w:jc w:val="both"/>
            </w:pPr>
            <w:r>
              <w:rPr>
                <w:rFonts w:ascii="Times New Roman"/>
                <w:b w:val="false"/>
                <w:i w:val="false"/>
                <w:color w:val="000000"/>
                <w:sz w:val="20"/>
              </w:rPr>
              <w:t>
е) должна иметь гладкие сварные швы;</w:t>
            </w:r>
          </w:p>
          <w:p>
            <w:pPr>
              <w:spacing w:after="20"/>
              <w:ind w:left="20"/>
              <w:jc w:val="both"/>
            </w:pPr>
            <w:r>
              <w:rPr>
                <w:rFonts w:ascii="Times New Roman"/>
                <w:b w:val="false"/>
                <w:i w:val="false"/>
                <w:color w:val="000000"/>
                <w:sz w:val="20"/>
              </w:rPr>
              <w:t>
ж) должна иметь закругленные углы и края любой доступной для пользователей части оборудования;</w:t>
            </w:r>
          </w:p>
          <w:p>
            <w:pPr>
              <w:spacing w:after="20"/>
              <w:ind w:left="20"/>
              <w:jc w:val="both"/>
            </w:pPr>
            <w:r>
              <w:rPr>
                <w:rFonts w:ascii="Times New Roman"/>
                <w:b w:val="false"/>
                <w:i w:val="false"/>
                <w:color w:val="000000"/>
                <w:sz w:val="20"/>
              </w:rPr>
              <w:t>
з) должна исключать возможность демонтажа без применения специализированных инструментов;</w:t>
            </w:r>
          </w:p>
          <w:p>
            <w:pPr>
              <w:spacing w:after="20"/>
              <w:ind w:left="20"/>
              <w:jc w:val="both"/>
            </w:pPr>
            <w:r>
              <w:rPr>
                <w:rFonts w:ascii="Times New Roman"/>
                <w:b w:val="false"/>
                <w:i w:val="false"/>
                <w:color w:val="000000"/>
                <w:sz w:val="20"/>
              </w:rPr>
              <w:t>
и) должна иметь защиту от несанкционированного доступа к элементам (комплектующим) оборудования, подлежащим периодическому обслуживанию или замене;</w:t>
            </w:r>
          </w:p>
          <w:p>
            <w:pPr>
              <w:spacing w:after="20"/>
              <w:ind w:left="20"/>
              <w:jc w:val="both"/>
            </w:pPr>
            <w:r>
              <w:rPr>
                <w:rFonts w:ascii="Times New Roman"/>
                <w:b w:val="false"/>
                <w:i w:val="false"/>
                <w:color w:val="000000"/>
                <w:sz w:val="20"/>
              </w:rPr>
              <w:t>
к) должна иметь размеры поперечного сечения элементов оборудования для захвата, при которых обеспечивается возможность захвата детьми;</w:t>
            </w:r>
          </w:p>
          <w:p>
            <w:pPr>
              <w:spacing w:after="20"/>
              <w:ind w:left="20"/>
              <w:jc w:val="both"/>
            </w:pPr>
            <w:r>
              <w:rPr>
                <w:rFonts w:ascii="Times New Roman"/>
                <w:b w:val="false"/>
                <w:i w:val="false"/>
                <w:color w:val="000000"/>
                <w:sz w:val="20"/>
              </w:rPr>
              <w:t>
л) должна исключать образование сдавливающих или режущих поверхностей между подвижными, а также подвижными и неподвижными элементами;</w:t>
            </w:r>
          </w:p>
          <w:p>
            <w:pPr>
              <w:spacing w:after="20"/>
              <w:ind w:left="20"/>
              <w:jc w:val="both"/>
            </w:pPr>
            <w:r>
              <w:rPr>
                <w:rFonts w:ascii="Times New Roman"/>
                <w:b w:val="false"/>
                <w:i w:val="false"/>
                <w:color w:val="000000"/>
                <w:sz w:val="20"/>
              </w:rPr>
              <w:t>
м) должна обеспечивать безопасные расстояния между подвижными элементами оборудования и поверхностью игровой площадки;</w:t>
            </w:r>
          </w:p>
          <w:p>
            <w:pPr>
              <w:spacing w:after="20"/>
              <w:ind w:left="20"/>
              <w:jc w:val="both"/>
            </w:pPr>
            <w:r>
              <w:rPr>
                <w:rFonts w:ascii="Times New Roman"/>
                <w:b w:val="false"/>
                <w:i w:val="false"/>
                <w:color w:val="000000"/>
                <w:sz w:val="20"/>
              </w:rPr>
              <w:t>
н) должна иметь оснащение перилами и ограждениями;</w:t>
            </w:r>
          </w:p>
          <w:p>
            <w:pPr>
              <w:spacing w:after="20"/>
              <w:ind w:left="20"/>
              <w:jc w:val="both"/>
            </w:pPr>
            <w:r>
              <w:rPr>
                <w:rFonts w:ascii="Times New Roman"/>
                <w:b w:val="false"/>
                <w:i w:val="false"/>
                <w:color w:val="000000"/>
                <w:sz w:val="20"/>
              </w:rPr>
              <w:t>
о) не должна допускать застревание тела, частей тела или одежды ребенка;</w:t>
            </w:r>
          </w:p>
          <w:p>
            <w:pPr>
              <w:spacing w:after="20"/>
              <w:ind w:left="20"/>
              <w:jc w:val="both"/>
            </w:pPr>
            <w:r>
              <w:rPr>
                <w:rFonts w:ascii="Times New Roman"/>
                <w:b w:val="false"/>
                <w:i w:val="false"/>
                <w:color w:val="000000"/>
                <w:sz w:val="20"/>
              </w:rPr>
              <w:t>
п) должна обладать необходимой несущей способностью к возникающим нагрузкам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закрытого оборудования (тоннели, игровые домики.) требованию, в соответствии с которым оно должно иметь не менее 2 открытых доступов, не зависящих друг от друга и расположенных на разных сторонах оборудования. Конструкция доступов должна исключать возможность их блокирования и обеспечивать при необходимости оказание помощи детям без каких-либо дополнительных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по всей зоне приземления с оборудования детских игровых площадок ударопоглощающих покрытий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соответствие высоты свободного падения с оборудования детских игровых площадок типу ударопоглощающего покрытия и возможному перемещению ребенка и элементов конструкции оборудования, которая должна составлять не более 3 метров от поверхности, на которую пользователь опирается ногами, до зоны приземления и не более 4 метров от уровня захвата руками до зоны приземления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скольжения при любых погодных условиях поверхности платформ, проходов, трапов и лестниц оборудования и покрытия детских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наличия опасных выступов на ударопоглощающем покрытии детских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исключение наличия на оборудовании и покрытии детских игровых площадок участков, на которых возможно застревания частей тела или одежды ребенка, при применении в качестве ударопоглощающего покрытия несыпучих материалов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 стадии эксплуатации обеспечение оборудования детских игровых площадок с высотой свободного падения более 60 см ударопоглощающим покрытием по всей зоне приземления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установление назначенных при проектировании сроков службы, сроков технического обслуживания и ремонта оборудования и покрытия детских игровых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наличие упаковки оборудования и покрытия или соответствующей товаросопроводительной документации с наименованием изготовителя и (или) его товарного знака, наименования и обозначения оборудования и (или) покрытия, сведения о возрастной группе, назначенного срока службы, обозначение документа, в соответствии с которым произведены оборудование и (или) покрытие конкретного вида.</w:t>
            </w:r>
          </w:p>
          <w:p>
            <w:pPr>
              <w:spacing w:after="20"/>
              <w:ind w:left="20"/>
              <w:jc w:val="both"/>
            </w:pPr>
            <w:r>
              <w:rPr>
                <w:rFonts w:ascii="Times New Roman"/>
                <w:b w:val="false"/>
                <w:i w:val="false"/>
                <w:color w:val="000000"/>
                <w:sz w:val="20"/>
              </w:rPr>
              <w:t>
Такая информация указывается на русском языке и при наличии соответствующих требований в законодательстве государства – члена Союза (далее – государство-член) на государственном (государственных) языке (языках) государства-члена, на территории которого реализуются оборудование и (или) покрытие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прекращение эксплуатации оборудования независимо от технического состояния оборудования по истечении назначенного срока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исключение внесения эксплуатантом в конструкцию оборудования изменений, влияющих на безопасность его конструкции или элементов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стадии эксплуатации размещение на детской игровой площадке информация в виде таблички (пиктограммы), содержащая:</w:t>
            </w:r>
          </w:p>
          <w:p>
            <w:pPr>
              <w:spacing w:after="20"/>
              <w:ind w:left="20"/>
              <w:jc w:val="both"/>
            </w:pPr>
            <w:r>
              <w:rPr>
                <w:rFonts w:ascii="Times New Roman"/>
                <w:b w:val="false"/>
                <w:i w:val="false"/>
                <w:color w:val="000000"/>
                <w:sz w:val="20"/>
              </w:rPr>
              <w:t>
а) правила пользования оборудованием и сведения о возрастных группах (включая ограничения по росту и весу);</w:t>
            </w:r>
          </w:p>
          <w:p>
            <w:pPr>
              <w:spacing w:after="20"/>
              <w:ind w:left="20"/>
              <w:jc w:val="both"/>
            </w:pPr>
            <w:r>
              <w:rPr>
                <w:rFonts w:ascii="Times New Roman"/>
                <w:b w:val="false"/>
                <w:i w:val="false"/>
                <w:color w:val="000000"/>
                <w:sz w:val="20"/>
              </w:rPr>
              <w:t>
б) номера телефонов службы спасения, скорой помощи;</w:t>
            </w:r>
          </w:p>
          <w:p>
            <w:pPr>
              <w:spacing w:after="20"/>
              <w:ind w:left="20"/>
              <w:jc w:val="both"/>
            </w:pPr>
            <w:r>
              <w:rPr>
                <w:rFonts w:ascii="Times New Roman"/>
                <w:b w:val="false"/>
                <w:i w:val="false"/>
                <w:color w:val="000000"/>
                <w:sz w:val="20"/>
              </w:rPr>
              <w:t>
в) номера телефонов эксплуатанта, по которым следует обращаться в случае неисправности или поломки оборудования.</w:t>
            </w:r>
          </w:p>
          <w:p>
            <w:pPr>
              <w:spacing w:after="20"/>
              <w:ind w:left="20"/>
              <w:jc w:val="both"/>
            </w:pPr>
            <w:r>
              <w:rPr>
                <w:rFonts w:ascii="Times New Roman"/>
                <w:b w:val="false"/>
                <w:i w:val="false"/>
                <w:color w:val="000000"/>
                <w:sz w:val="20"/>
              </w:rPr>
              <w:t>
В процессе эксплуатации оборудования должны соблюдаться ограничения по росту и весу, указанные в паспорте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средствами обеспечения пожарной безопасности и пожаротушения предотвращения, снижения риска возникновения, ограничения развития пожара и распространения его опасных факторов, тушения пожара, спасения людей, защиты жизни и здоровья человека, имущества и окружающей среды от пожара, а также снижения риска причинения вреда и (или) нанесения ущерба вследствие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огнетушащими веществами тушение пожара поверхностным (локально-поверхностным) и (или) объемным (локально-объемным) способом их подачи в соответствии с характеристиками подачи огнетушащих веществ и тактикой 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тушению тех материалов, взаимодействие с которыми не приводит к опасности возникновения новых очагов пожара или взрыва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огнетушащих веществ требованиям по сохранению свойств, необходимых для тушения пожара, в процессе транспортирования и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огнезащиты огнезащитной эффективности, обеспечивающей снижение пожарной опасности и повышение огнестойкости защищаемых объектов до нормируемого уровня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на средства огнезащиты информации о технических показателях, характеризующих область их применения, способ подготовки поверхности, виды и марки грунтовок, способ нанесения на защищаемую поверхность, условия сушки, огнезащитную эффективность этих средств, способ защиты от неблагоприятных климатических воздействий, условия и срок эксплуатации огнезащитных покрытий, меры безопасности при проведении огнезащитных работ, а также порядок транспортирования и хранения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средства огнезащиты стальных конструкций и железобетонных конструкций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срок сохранения огнезащитной эффективности огнезащитного покрытия.</w:t>
            </w:r>
          </w:p>
          <w:p>
            <w:pPr>
              <w:spacing w:after="20"/>
              <w:ind w:left="20"/>
              <w:jc w:val="both"/>
            </w:pPr>
            <w:r>
              <w:rPr>
                <w:rFonts w:ascii="Times New Roman"/>
                <w:b w:val="false"/>
                <w:i w:val="false"/>
                <w:color w:val="000000"/>
                <w:sz w:val="20"/>
              </w:rPr>
              <w:t>
При этом на поверхность огнезащитного слоя допускается наносить дополнительное покрытие для придания декоративного вида или обеспечения устойчивости к неблагоприятному климатическому воздействию. В этом случае огнезащитная эффективность указывается с учетом дополнительного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кабелей сведения о толщине огнезащитного покрытия и расходе средства огнезащиты, необходимые для достижения требуемой огнезащитной эффективности, сухой остаток и область применения (виды наружных оболочек кабелей, для которых они применяются)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технической документации для средств огнезащиты древесины и материалов на ее основе сведения о плотности состава и его расход на единицу площади или объема (в зависимости от способа нанесения). При установлении изготовителем срока службы средств огнезащиты древесины и материалов на ее основе более 1 года, он подтверждается испытаниями на устойчивость к старению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изделий погонных электромонтажных из неметаллических материалов теплостойкости, стойкости к зажиганию нагретой проволокой, стойкости к воздействию открытого пламени и стойкости к распространению горения при одиночной или групповой прокладке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огнетушителей требованиям по тушению модельных очагов пожара. Прочностные характеристики конструктивных элементов переносных и передвижных огнетушителей обеспечивают безопасность применения таких огнетушителей при тушении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пожарных кранов и клапанов пожарных запорных, применяемых в пожарных кранах, возможности открывания запорного устройства одним человеком и подачу воды из системы противопожарного водопровода с требуемым (нормируемым) расходом. Конструкция головок соединительных пожарных кранов обеспечивает подсоединение к ним пожарных рукавов, используемых пожарными подразделениями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пожарных шкафах в зависимости от их назначения, первичных средств пожаротушения, пожарного оборудования, средств индивидуальной защиты и спасения людей. Конструкция пожарных шкафов обеспечивает быстрое и безопасное использование находящихся в них технических средств. Пожарные шкафы изготовлены из негорючих материалов. Внешнее оформление пожарных шкафов и сведения об их содержимом обеспечивает возможность оперативного информирования о наличии и составе размещаемых в пожарных шкафах технических средств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средств пожаротушения выполнению одной или нескольких из следующих функций:</w:t>
            </w:r>
          </w:p>
          <w:p>
            <w:pPr>
              <w:spacing w:after="20"/>
              <w:ind w:left="20"/>
              <w:jc w:val="both"/>
            </w:pPr>
            <w:r>
              <w:rPr>
                <w:rFonts w:ascii="Times New Roman"/>
                <w:b w:val="false"/>
                <w:i w:val="false"/>
                <w:color w:val="000000"/>
                <w:sz w:val="20"/>
              </w:rPr>
              <w:t>
1) доставка к месту пожара личного состава пожарных подразделений, огнетушащих веществ, пожарного оборудования, средств индивидуальной защиты пожарных и самоспасения пожарных, пожарного инструмента, средств спасения людей;</w:t>
            </w:r>
          </w:p>
          <w:p>
            <w:pPr>
              <w:spacing w:after="20"/>
              <w:ind w:left="20"/>
              <w:jc w:val="both"/>
            </w:pPr>
            <w:r>
              <w:rPr>
                <w:rFonts w:ascii="Times New Roman"/>
                <w:b w:val="false"/>
                <w:i w:val="false"/>
                <w:color w:val="000000"/>
                <w:sz w:val="20"/>
              </w:rPr>
              <w:t>
2) подача в зону пожара огнетушащих веществ;</w:t>
            </w:r>
          </w:p>
          <w:p>
            <w:pPr>
              <w:spacing w:after="20"/>
              <w:ind w:left="20"/>
              <w:jc w:val="both"/>
            </w:pPr>
            <w:r>
              <w:rPr>
                <w:rFonts w:ascii="Times New Roman"/>
                <w:b w:val="false"/>
                <w:i w:val="false"/>
                <w:color w:val="000000"/>
                <w:sz w:val="20"/>
              </w:rPr>
              <w:t>
3) проведение аварийно-спасательных работ, связанных с тушением пожара;</w:t>
            </w:r>
          </w:p>
          <w:p>
            <w:pPr>
              <w:spacing w:after="20"/>
              <w:ind w:left="20"/>
              <w:jc w:val="both"/>
            </w:pPr>
            <w:r>
              <w:rPr>
                <w:rFonts w:ascii="Times New Roman"/>
                <w:b w:val="false"/>
                <w:i w:val="false"/>
                <w:color w:val="000000"/>
                <w:sz w:val="20"/>
              </w:rPr>
              <w:t>
обеспечение безопасности работ, выполняемых пожарными подразделениями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мотопомп пожарных, забору и подачи воды из водопроводной сети, емкостей и открытых водных источников с требуемым для тушения пожара расходом и рабочим давлением. Конструкция переносных мотопомп пожарных обеспечивает возможность их переноски 2 операторами и установки на грунт (водную поверхность). Прицепные мотопомпы пожарные стационарно монтированы на прицепах. Конструкция прицепов обеспечивает безопасность транспортирования мотопомп пожарных к месту пожара и их устойчивое размещение при заборе и подаче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подачи воды, водных растворов пенообразователей требуемым (нормируемым) расходам и рабочим давлению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насосов центробежных пожарных для мобильных средств пожаротушения в зависимости от их конструктивных особенностей и основных параметров, нижеследующему:</w:t>
            </w:r>
          </w:p>
          <w:p>
            <w:pPr>
              <w:spacing w:after="20"/>
              <w:ind w:left="20"/>
              <w:jc w:val="both"/>
            </w:pPr>
            <w:r>
              <w:rPr>
                <w:rFonts w:ascii="Times New Roman"/>
                <w:b w:val="false"/>
                <w:i w:val="false"/>
                <w:color w:val="000000"/>
                <w:sz w:val="20"/>
              </w:rPr>
              <w:t>
1) подачу воды и огнетушащих растворов при нормальном давлении;</w:t>
            </w:r>
          </w:p>
          <w:p>
            <w:pPr>
              <w:spacing w:after="20"/>
              <w:ind w:left="20"/>
              <w:jc w:val="both"/>
            </w:pPr>
            <w:r>
              <w:rPr>
                <w:rFonts w:ascii="Times New Roman"/>
                <w:b w:val="false"/>
                <w:i w:val="false"/>
                <w:color w:val="000000"/>
                <w:sz w:val="20"/>
              </w:rPr>
              <w:t>
2) подачу воды и огнетушащих растворов при высоком давлении;</w:t>
            </w:r>
          </w:p>
          <w:p>
            <w:pPr>
              <w:spacing w:after="20"/>
              <w:ind w:left="20"/>
              <w:jc w:val="both"/>
            </w:pPr>
            <w:r>
              <w:rPr>
                <w:rFonts w:ascii="Times New Roman"/>
                <w:b w:val="false"/>
                <w:i w:val="false"/>
                <w:color w:val="000000"/>
                <w:sz w:val="20"/>
              </w:rPr>
              <w:t>
3) одновременную подачу воды и огнетушащих растворов при нормальном и высоком давлении;</w:t>
            </w:r>
          </w:p>
          <w:p>
            <w:pPr>
              <w:spacing w:after="20"/>
              <w:ind w:left="20"/>
              <w:jc w:val="both"/>
            </w:pPr>
            <w:r>
              <w:rPr>
                <w:rFonts w:ascii="Times New Roman"/>
                <w:b w:val="false"/>
                <w:i w:val="false"/>
                <w:color w:val="000000"/>
                <w:sz w:val="20"/>
              </w:rPr>
              <w:t>
забор (всасывание) воды из открытых водных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автоматическое обнаружение пожара, автоматическое либо автоматическое и ручное включение сигнала о пожаре;</w:t>
            </w:r>
          </w:p>
          <w:p>
            <w:pPr>
              <w:spacing w:after="20"/>
              <w:ind w:left="20"/>
              <w:jc w:val="both"/>
            </w:pPr>
            <w:r>
              <w:rPr>
                <w:rFonts w:ascii="Times New Roman"/>
                <w:b w:val="false"/>
                <w:i w:val="false"/>
                <w:color w:val="000000"/>
                <w:sz w:val="20"/>
              </w:rPr>
              <w:t>
2) информирование дежурного персонала о пожаре;</w:t>
            </w:r>
          </w:p>
          <w:p>
            <w:pPr>
              <w:spacing w:after="20"/>
              <w:ind w:left="20"/>
              <w:jc w:val="both"/>
            </w:pPr>
            <w:r>
              <w:rPr>
                <w:rFonts w:ascii="Times New Roman"/>
                <w:b w:val="false"/>
                <w:i w:val="false"/>
                <w:color w:val="000000"/>
                <w:sz w:val="20"/>
              </w:rPr>
              <w:t>
3) подача управляющих сигналов на технические устройства оповещения людей о пожаре и управления эвакуацией людей, на включение эвакуационного освещения, на исполнительные устройства систем противопожарной защиты (пожаротушения, противодымной вентиляции);</w:t>
            </w:r>
          </w:p>
          <w:p>
            <w:pPr>
              <w:spacing w:after="20"/>
              <w:ind w:left="20"/>
              <w:jc w:val="both"/>
            </w:pPr>
            <w:r>
              <w:rPr>
                <w:rFonts w:ascii="Times New Roman"/>
                <w:b w:val="false"/>
                <w:i w:val="false"/>
                <w:color w:val="000000"/>
                <w:sz w:val="20"/>
              </w:rPr>
              <w:t>
4) формирование сигналов управления инженерным и технологическим оборудованием;</w:t>
            </w:r>
          </w:p>
          <w:p>
            <w:pPr>
              <w:spacing w:after="20"/>
              <w:ind w:left="20"/>
              <w:jc w:val="both"/>
            </w:pPr>
            <w:r>
              <w:rPr>
                <w:rFonts w:ascii="Times New Roman"/>
                <w:b w:val="false"/>
                <w:i w:val="false"/>
                <w:color w:val="000000"/>
                <w:sz w:val="20"/>
              </w:rPr>
              <w:t>
4) информирование дежурного персонала о возникновении неисправности линий связи между отдельными техническими устройствами, входящими в состав систем пожарной автоматики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электрической и информационной совместимости друг с другом, а также с другими взаимодействующими с ними техническими средствами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работоспособности в условиях повышенных температуры и влажности, а также при механических воздействиях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пожарной автоматики, в зависимости от их назначения, выполнению одной или нескольких из следующих функций:</w:t>
            </w:r>
          </w:p>
          <w:p>
            <w:pPr>
              <w:spacing w:after="20"/>
              <w:ind w:left="20"/>
              <w:jc w:val="both"/>
            </w:pPr>
            <w:r>
              <w:rPr>
                <w:rFonts w:ascii="Times New Roman"/>
                <w:b w:val="false"/>
                <w:i w:val="false"/>
                <w:color w:val="000000"/>
                <w:sz w:val="20"/>
              </w:rPr>
              <w:t>
1) обнаружение пожара;</w:t>
            </w:r>
          </w:p>
          <w:p>
            <w:pPr>
              <w:spacing w:after="20"/>
              <w:ind w:left="20"/>
              <w:jc w:val="both"/>
            </w:pPr>
            <w:r>
              <w:rPr>
                <w:rFonts w:ascii="Times New Roman"/>
                <w:b w:val="false"/>
                <w:i w:val="false"/>
                <w:color w:val="000000"/>
                <w:sz w:val="20"/>
              </w:rPr>
              <w:t>
2) формирование, сбор, обработка, регистрация и передача в заданном виде сигналов о пожаре, режимах работы системы пожарной сигнализации;</w:t>
            </w:r>
          </w:p>
          <w:p>
            <w:pPr>
              <w:spacing w:after="20"/>
              <w:ind w:left="20"/>
              <w:jc w:val="both"/>
            </w:pPr>
            <w:r>
              <w:rPr>
                <w:rFonts w:ascii="Times New Roman"/>
                <w:b w:val="false"/>
                <w:i w:val="false"/>
                <w:color w:val="000000"/>
                <w:sz w:val="20"/>
              </w:rPr>
              <w:t>
подача сигналов на управление техническими средствами противопожарной защиты, технологическим, электротехническим и другим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передачи извещений о пожаре, требованиям по обеспечению:</w:t>
            </w:r>
          </w:p>
          <w:p>
            <w:pPr>
              <w:spacing w:after="20"/>
              <w:ind w:left="20"/>
              <w:jc w:val="both"/>
            </w:pPr>
            <w:r>
              <w:rPr>
                <w:rFonts w:ascii="Times New Roman"/>
                <w:b w:val="false"/>
                <w:i w:val="false"/>
                <w:color w:val="000000"/>
                <w:sz w:val="20"/>
              </w:rPr>
              <w:t>
1) передачи на пульт централизованного наблюдения по линии (линиям) связи тревожных извещений о пожаре и неисправностях, регистрируемых системой пожарной автоматики объекта;</w:t>
            </w:r>
          </w:p>
          <w:p>
            <w:pPr>
              <w:spacing w:after="20"/>
              <w:ind w:left="20"/>
              <w:jc w:val="both"/>
            </w:pPr>
            <w:r>
              <w:rPr>
                <w:rFonts w:ascii="Times New Roman"/>
                <w:b w:val="false"/>
                <w:i w:val="false"/>
                <w:color w:val="000000"/>
                <w:sz w:val="20"/>
              </w:rPr>
              <w:t>
3) автоматического контроля исправности линий связи между системой пожарной автоматики объекта и пультом централизованного наблюдения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требованиям по информированию людей о пожаре в течение времени, необходимого для эвакуации людей, а также выдачи дополнительной информации о путях и способах эвакуации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оповещения и управления эвакуацией людей при пожаре, требованию по информированию людей о пожаре одним из следующих способов или в любой их приемлемой комбинации:</w:t>
            </w:r>
          </w:p>
          <w:p>
            <w:pPr>
              <w:spacing w:after="20"/>
              <w:ind w:left="20"/>
              <w:jc w:val="both"/>
            </w:pPr>
            <w:r>
              <w:rPr>
                <w:rFonts w:ascii="Times New Roman"/>
                <w:b w:val="false"/>
                <w:i w:val="false"/>
                <w:color w:val="000000"/>
                <w:sz w:val="20"/>
              </w:rPr>
              <w:t>
1) подача световых, звуковых и речевых сигналов во все помещения здания, в которых постоянно или временно находятся люди;</w:t>
            </w:r>
          </w:p>
          <w:p>
            <w:pPr>
              <w:spacing w:after="20"/>
              <w:ind w:left="20"/>
              <w:jc w:val="both"/>
            </w:pPr>
            <w:r>
              <w:rPr>
                <w:rFonts w:ascii="Times New Roman"/>
                <w:b w:val="false"/>
                <w:i w:val="false"/>
                <w:color w:val="000000"/>
                <w:sz w:val="20"/>
              </w:rPr>
              <w:t>
2) трансляция специально разработанных текстов о необходимости эвакуации, путях эвакуации, направлении движения и действиях, направленных на обеспечение безопасности людей и предотвращение возникновения паники при пожаре;</w:t>
            </w:r>
          </w:p>
          <w:p>
            <w:pPr>
              <w:spacing w:after="20"/>
              <w:ind w:left="20"/>
              <w:jc w:val="both"/>
            </w:pPr>
            <w:r>
              <w:rPr>
                <w:rFonts w:ascii="Times New Roman"/>
                <w:b w:val="false"/>
                <w:i w:val="false"/>
                <w:color w:val="000000"/>
                <w:sz w:val="20"/>
              </w:rPr>
              <w:t>
3) подача индивидуальных сигналов оповещения (с использованием персональных устройств со световыми, звуковыми, вибрационными сигналами оповещения и обратной связью);</w:t>
            </w:r>
          </w:p>
          <w:p>
            <w:pPr>
              <w:spacing w:after="20"/>
              <w:ind w:left="20"/>
              <w:jc w:val="both"/>
            </w:pPr>
            <w:r>
              <w:rPr>
                <w:rFonts w:ascii="Times New Roman"/>
                <w:b w:val="false"/>
                <w:i w:val="false"/>
                <w:color w:val="000000"/>
                <w:sz w:val="20"/>
              </w:rPr>
              <w:t>
4) освещение знаков пожарной безопасности на путях эвакуации в течение нормативного времени;</w:t>
            </w:r>
          </w:p>
          <w:p>
            <w:pPr>
              <w:spacing w:after="20"/>
              <w:ind w:left="20"/>
              <w:jc w:val="both"/>
            </w:pPr>
            <w:r>
              <w:rPr>
                <w:rFonts w:ascii="Times New Roman"/>
                <w:b w:val="false"/>
                <w:i w:val="false"/>
                <w:color w:val="000000"/>
                <w:sz w:val="20"/>
              </w:rPr>
              <w:t>
5) включение эвакуационного (аварийного) освещения от сигнала пожарной автоматики;</w:t>
            </w:r>
          </w:p>
          <w:p>
            <w:pPr>
              <w:spacing w:after="20"/>
              <w:ind w:left="20"/>
              <w:jc w:val="both"/>
            </w:pPr>
            <w:r>
              <w:rPr>
                <w:rFonts w:ascii="Times New Roman"/>
                <w:b w:val="false"/>
                <w:i w:val="false"/>
                <w:color w:val="000000"/>
                <w:sz w:val="20"/>
              </w:rPr>
              <w:t>
6) дистанционное открывание запоров дверей эвакуационных выходов;</w:t>
            </w:r>
          </w:p>
          <w:p>
            <w:pPr>
              <w:spacing w:after="20"/>
              <w:ind w:left="20"/>
              <w:jc w:val="both"/>
            </w:pPr>
            <w:r>
              <w:rPr>
                <w:rFonts w:ascii="Times New Roman"/>
                <w:b w:val="false"/>
                <w:i w:val="false"/>
                <w:color w:val="000000"/>
                <w:sz w:val="20"/>
              </w:rPr>
              <w:t>
7) обеспечение пожарного поста (диспетчерской) связью с зонами оповещения людей о пожаре;</w:t>
            </w:r>
          </w:p>
          <w:p>
            <w:pPr>
              <w:spacing w:after="20"/>
              <w:ind w:left="20"/>
              <w:jc w:val="both"/>
            </w:pPr>
            <w:r>
              <w:rPr>
                <w:rFonts w:ascii="Times New Roman"/>
                <w:b w:val="false"/>
                <w:i w:val="false"/>
                <w:color w:val="000000"/>
                <w:sz w:val="20"/>
              </w:rPr>
              <w:t>
иные способы информирования людей при эвакуации. Сигналы оповещения о пожаре отличаются от сигналов другого назначения. Оповещатели пожарные при необходимости подключаются к электрической сети, а также к другим необходимым линиям связи без использования разъемных устройств. Оповещатели пожарные не имеют возможности регулировки уровня громкости при передаче звуковых и речевых сигналов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установок пожаротушения автоматических (в том числе установок пожаротушения автономных, установок пожаротушения модульных, установок пожаротушения роботизированных), в зависимости от их назначения (без участия человека) обнаружению пожара, требованию по передаче сигнала о пожаре во внешние цепи и подаче (выпуску) огнетушащего вещества в зону пожара.</w:t>
            </w:r>
          </w:p>
          <w:p>
            <w:pPr>
              <w:spacing w:after="20"/>
              <w:ind w:left="20"/>
              <w:jc w:val="both"/>
            </w:pPr>
            <w:r>
              <w:rPr>
                <w:rFonts w:ascii="Times New Roman"/>
                <w:b w:val="false"/>
                <w:i w:val="false"/>
                <w:color w:val="000000"/>
                <w:sz w:val="20"/>
              </w:rPr>
              <w:t>
8) Технические средства, функционирующие в составе установок пожаротушения автономных, обеспечивают выполнение указанных функций независимо от наличия внешних источников питания и систем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установок пожаротушения роботизированных и технических средств, функционирующих в составе установок пожаротушения роботизированных, выполнению следующих задач:</w:t>
            </w:r>
          </w:p>
          <w:p>
            <w:pPr>
              <w:spacing w:after="20"/>
              <w:ind w:left="20"/>
              <w:jc w:val="both"/>
            </w:pPr>
            <w:r>
              <w:rPr>
                <w:rFonts w:ascii="Times New Roman"/>
                <w:b w:val="false"/>
                <w:i w:val="false"/>
                <w:color w:val="000000"/>
                <w:sz w:val="20"/>
              </w:rPr>
              <w:t>
1) обнаружение очага возгорания;</w:t>
            </w:r>
          </w:p>
          <w:p>
            <w:pPr>
              <w:spacing w:after="20"/>
              <w:ind w:left="20"/>
              <w:jc w:val="both"/>
            </w:pPr>
            <w:r>
              <w:rPr>
                <w:rFonts w:ascii="Times New Roman"/>
                <w:b w:val="false"/>
                <w:i w:val="false"/>
                <w:color w:val="000000"/>
                <w:sz w:val="20"/>
              </w:rPr>
              <w:t>
обеспечение подачи огнетушащего вещества в зону пожара с требуемыми (нормируемыми) характеристиками (интенсивностью подачи, кратностью 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устройств пожаротушения автономных подачи (выпуска) огнетушащего вещества при их срабатывании от воздействия одного или нескольких опасных факторов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мобильных робототехнических комплексов выдвижению в зону проведения работ и выполнению функций тушения пожара путем подачи огнетушащего вещества и видов аварийно- спасательных работ без непосредственного участия (нахождения) человека в опасной зоне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требованию по защите личного состава пожарных подразделений от воздействия опасных факторов пожара, неблагоприятных климатических воздействий при тушении пожара, проведении аварийно-спасательных работ и ликвидации последствий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пожарных эргономическому требованию по сочетанию друг с другом и наличию светосигнальных элементов, позволяющих осуществлять визуальное наблюдение и поиск пожарных в условиях пониженной видимости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индивидуальной защиты, требованию по защите пожарного при работе в среде, непригодной для дыхания и раздражающей слизистую оболочку глаз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по принципу действия и условиям следующего применения:</w:t>
            </w:r>
          </w:p>
          <w:p>
            <w:pPr>
              <w:spacing w:after="20"/>
              <w:ind w:left="20"/>
              <w:jc w:val="both"/>
            </w:pPr>
            <w:r>
              <w:rPr>
                <w:rFonts w:ascii="Times New Roman"/>
                <w:b w:val="false"/>
                <w:i w:val="false"/>
                <w:color w:val="000000"/>
                <w:sz w:val="20"/>
              </w:rPr>
              <w:t>
1) аппараты дыхательные изолирующие пожарные (со сжатым воздухом, сжатым кислородом) – для тушения любых пожаров;</w:t>
            </w:r>
          </w:p>
          <w:p>
            <w:pPr>
              <w:spacing w:after="20"/>
              <w:ind w:left="20"/>
              <w:jc w:val="both"/>
            </w:pPr>
            <w:r>
              <w:rPr>
                <w:rFonts w:ascii="Times New Roman"/>
                <w:b w:val="false"/>
                <w:i w:val="false"/>
                <w:color w:val="000000"/>
                <w:sz w:val="20"/>
              </w:rPr>
              <w:t>
2) средства индивидуальной защиты органов дыхания и зрения фильтрующие пожарные – для тушения природных пожаров на открытом воздухе;</w:t>
            </w:r>
          </w:p>
          <w:p>
            <w:pPr>
              <w:spacing w:after="20"/>
              <w:ind w:left="20"/>
              <w:jc w:val="both"/>
            </w:pPr>
            <w:r>
              <w:rPr>
                <w:rFonts w:ascii="Times New Roman"/>
                <w:b w:val="false"/>
                <w:i w:val="false"/>
                <w:color w:val="000000"/>
                <w:sz w:val="20"/>
              </w:rPr>
              <w:t>
самоспасатели изолирующие пожарные – для самоспасения пожарных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органов дыхания и зрения пожарных и технических средств, функционирующих в составе таких средств, требованию по стойкости к термическим и механическим воздействиям, к неблагоприятным климатическим воздействиям, а также эргономическими и защитными показателями (с учетом тактики тушения пожаров, ликвидации последствий чрезвычайных ситуаций, проведения аварийно-спасательных работ, спасения людей и необходимости обеспечения безопасных условий труда пожарных и спасателей)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аппаратов дыхательных изолирующих пожарных (со сжатым воздухом, сжатым кислородом) требованию по поддержанию избыточного давления в подмасочном пространстве лицевой части в процессе дыхания человека. Номинальное время защитного действия аппаратов дыхательных изолирующих пожарных со сжатым воздухом не менее 60 минут, а аппаратов дыхательных изолирующих пожарных со сжатым кислородом – не менее 240 минут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конструктивного исполнения средств индивидуальной защиты органов дыхания и зрения пожарных быстрой замене (без применения специальных инструментов) баллонов с дыхательной смесью и регенеративных (поглотительных) патронов (брикетов)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самоспасателей изолирующих пожарных необходимому уровню защиты органов дыхания и зрения пожарного от опасных факторов пожара в течение не менее 25 минут. Самоспасатели изолирующие пожарные обладают стойкостью к механическим и термическим воздействиям, к неблагоприятным климатическим воздействиям, эргономическими и защитными показателями с учетом необходимости обеспечения защиты пожарных от токсичных продуктов горения во время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компрессорных установок для наполнения баллонов аппаратов дыхательных изолирующих пожарных требованию по наполнению воздухом и кислородом баллонов аппаратов дыхательных изолирующих пожарных при их стационарном размещении в специальных помещениях зданий, а также на открытой местности.</w:t>
            </w:r>
          </w:p>
          <w:p>
            <w:pPr>
              <w:spacing w:after="20"/>
              <w:ind w:left="20"/>
              <w:jc w:val="both"/>
            </w:pPr>
            <w:r>
              <w:rPr>
                <w:rFonts w:ascii="Times New Roman"/>
                <w:b w:val="false"/>
                <w:i w:val="false"/>
                <w:color w:val="000000"/>
                <w:sz w:val="20"/>
              </w:rPr>
              <w:t>
Рабочее давление компрессорных установок для наполнения баллонов аппаратов дыхательных изолирующих пожарных сжатым воздухом составляет не менее 29,4 МПа, а компрессорных кислородных установок – не менее 20,0 МПа.</w:t>
            </w:r>
          </w:p>
          <w:p>
            <w:pPr>
              <w:spacing w:after="20"/>
              <w:ind w:left="20"/>
              <w:jc w:val="both"/>
            </w:pPr>
            <w:r>
              <w:rPr>
                <w:rFonts w:ascii="Times New Roman"/>
                <w:b w:val="false"/>
                <w:i w:val="false"/>
                <w:color w:val="000000"/>
                <w:sz w:val="20"/>
              </w:rPr>
              <w:t>
Компрессорные установки для наполнения баллонов аппаратов дыхательных изолирующих пожарных рассчитаны на применение в следующих климатических условиях:</w:t>
            </w:r>
          </w:p>
          <w:p>
            <w:pPr>
              <w:spacing w:after="20"/>
              <w:ind w:left="20"/>
              <w:jc w:val="both"/>
            </w:pPr>
            <w:r>
              <w:rPr>
                <w:rFonts w:ascii="Times New Roman"/>
                <w:b w:val="false"/>
                <w:i w:val="false"/>
                <w:color w:val="000000"/>
                <w:sz w:val="20"/>
              </w:rPr>
              <w:t>
переносные и стационарные – с температурой окружающей среды от + 5С до + 40С;</w:t>
            </w:r>
          </w:p>
          <w:p>
            <w:pPr>
              <w:spacing w:after="20"/>
              <w:ind w:left="20"/>
              <w:jc w:val="both"/>
            </w:pPr>
            <w:r>
              <w:rPr>
                <w:rFonts w:ascii="Times New Roman"/>
                <w:b w:val="false"/>
                <w:i w:val="false"/>
                <w:color w:val="000000"/>
                <w:sz w:val="20"/>
              </w:rPr>
              <w:t>
мобильные – при температуре окружающей среды от -50С до + 50С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определению статистических или динамических испытаний установок для проверки аппаратов дыхательных изолирующих пожарных для проверки технических параметров аппаратов дыхательных изолирующих пожарных со сжатым воздухом и сжатым кислородом на стационарных постах и автомобилях газодымозащитной службы пожарной охраны, а также в сервисных центрах.</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статических испытаний аппаратов дыхательных изолирующих пожарных в диапазоне температур окружающего воздуха от + 5С до + 40С.</w:t>
            </w:r>
          </w:p>
          <w:p>
            <w:pPr>
              <w:spacing w:after="20"/>
              <w:ind w:left="20"/>
              <w:jc w:val="both"/>
            </w:pPr>
            <w:r>
              <w:rPr>
                <w:rFonts w:ascii="Times New Roman"/>
                <w:b w:val="false"/>
                <w:i w:val="false"/>
                <w:color w:val="000000"/>
                <w:sz w:val="20"/>
              </w:rPr>
              <w:t>
Установки для проверки аппаратов дыхательных изолирующих пожарных обеспечивать проведение динамических испытаний аппаратов дыхательных изолирующих пожарных в режимах дыхания, характеризующихся легочной вентиляцией от 30 до 100 дм3 х мин-1 (для аппаратов дыхательных изолирующих пожарных со сжатым воздухом) и от 30 до 85 дм3 х мин-1 (для аппаратов дыхательных изолирующих пожарных со сжатым кислородом).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подразделению специальной защитной одежды пожарного на:</w:t>
            </w:r>
          </w:p>
          <w:p>
            <w:pPr>
              <w:spacing w:after="20"/>
              <w:ind w:left="20"/>
              <w:jc w:val="both"/>
            </w:pPr>
            <w:r>
              <w:rPr>
                <w:rFonts w:ascii="Times New Roman"/>
                <w:b w:val="false"/>
                <w:i w:val="false"/>
                <w:color w:val="000000"/>
                <w:sz w:val="20"/>
              </w:rPr>
              <w:t>
1) специальную защитную одежду пожарного общего назначения;</w:t>
            </w:r>
          </w:p>
          <w:p>
            <w:pPr>
              <w:spacing w:after="20"/>
              <w:ind w:left="20"/>
              <w:jc w:val="both"/>
            </w:pPr>
            <w:r>
              <w:rPr>
                <w:rFonts w:ascii="Times New Roman"/>
                <w:b w:val="false"/>
                <w:i w:val="false"/>
                <w:color w:val="000000"/>
                <w:sz w:val="20"/>
              </w:rPr>
              <w:t>
2) специальную защитную одежду пожарного от повышенных тепловых воздействий;</w:t>
            </w:r>
          </w:p>
          <w:p>
            <w:pPr>
              <w:spacing w:after="20"/>
              <w:ind w:left="20"/>
              <w:jc w:val="both"/>
            </w:pPr>
            <w:r>
              <w:rPr>
                <w:rFonts w:ascii="Times New Roman"/>
                <w:b w:val="false"/>
                <w:i w:val="false"/>
                <w:color w:val="000000"/>
                <w:sz w:val="20"/>
              </w:rPr>
              <w:t>
3) специальную защитную одежду пожарного изолирующего типа;</w:t>
            </w:r>
          </w:p>
          <w:p>
            <w:pPr>
              <w:spacing w:after="20"/>
              <w:ind w:left="20"/>
              <w:jc w:val="both"/>
            </w:pPr>
            <w:r>
              <w:rPr>
                <w:rFonts w:ascii="Times New Roman"/>
                <w:b w:val="false"/>
                <w:i w:val="false"/>
                <w:color w:val="000000"/>
                <w:sz w:val="20"/>
              </w:rPr>
              <w:t>
4) белье термостойкое для пожарных;</w:t>
            </w:r>
          </w:p>
          <w:p>
            <w:pPr>
              <w:spacing w:after="20"/>
              <w:ind w:left="20"/>
              <w:jc w:val="both"/>
            </w:pPr>
            <w:r>
              <w:rPr>
                <w:rFonts w:ascii="Times New Roman"/>
                <w:b w:val="false"/>
                <w:i w:val="false"/>
                <w:color w:val="000000"/>
                <w:sz w:val="20"/>
              </w:rPr>
              <w:t>
5) подшлемник для пожарных. Специальная защитная одежда пожарного обеспечивать защиту от опасных факторов пожара и неблагоприятных климатических воздействий, при этом степень защиты характеризоваться показателями, значения которых устанавливаются в соответствии с необходимостью обеспечения безопасных условий труда пожарных. Конструктивное исполнение специальной защитной одежды пожарного препятствовать проникновению огнетушащих веществ во внутреннее пространство одежды и обеспечивать возможность экстренного снятия одежды, контроля давления в баллонах аппарата дыхательного, приема и передачи информации (звуковой, зрительной или с помощью специальных устройств).</w:t>
            </w:r>
          </w:p>
          <w:p>
            <w:pPr>
              <w:spacing w:after="20"/>
              <w:ind w:left="20"/>
              <w:jc w:val="both"/>
            </w:pPr>
            <w:r>
              <w:rPr>
                <w:rFonts w:ascii="Times New Roman"/>
                <w:b w:val="false"/>
                <w:i w:val="false"/>
                <w:color w:val="000000"/>
                <w:sz w:val="20"/>
              </w:rPr>
              <w:t>
Конструкция специальной защитной одежды пожарного изолирующего типа обеспечивать поддержание избыточного давления воздуха в подкостюмном пространстве на уровне, необходимом для обеспечения безопасных условий труда пожарного, работающего в такой специальной защитной одежде.</w:t>
            </w:r>
          </w:p>
          <w:p>
            <w:pPr>
              <w:spacing w:after="20"/>
              <w:ind w:left="20"/>
              <w:jc w:val="both"/>
            </w:pPr>
            <w:r>
              <w:rPr>
                <w:rFonts w:ascii="Times New Roman"/>
                <w:b w:val="false"/>
                <w:i w:val="false"/>
                <w:color w:val="000000"/>
                <w:sz w:val="20"/>
              </w:rPr>
              <w:t>
Специальная защитная одежда пожарного изолирующего типа, используемая при тушении пожаров на опасных производственных объектах, обеспечивать защиту от попадания на кожные покровы и во внутренние органы человека агрессивных и радиоактивных веществ. Специальная защитная одежда пожарного изолирующего типа, используемая при тушении пожаров и проведении аварийно-спасательных работ на радиационно опасных объектах, обеспечивать защиту человека от ионизирующих излучений. Коэффициент ослабления внешнего воздействия бета-излучением с энергией не более 2 МэВ (источник Sr90) не менее 150, коэффициент ослабления внешнего воздействия гамма-излучением с энергией 122 кэВ (источник Co57) – не менее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подшлемника для пожарных и белья термостойкого, используемых вместе со специальной защитной одеждой пожарного, необходимому эргономическому и физиолого-гигиеническому уровню при выполнении любых видов работ, связанных с тушением пожаров и ликвидацией последствий чрезвычайных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головы (каски пожарные) требованию по защите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рук пожарного требованию по защите рук от огнетушащих веществ, термических и механических воздействий при тушении пожаров, ликвидации последствий чрезвычайных ситуаций и проведении аварийно-спасательных работ, обладать необходимыми эргономическими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индивидуальной защиты ног пожарного защите ног от воды, механических, тепловых, химических воздействий и от неблагоприятных климатических воздействий при тушении пожаров, ликвидации последствий чрезвычайных ситуаций и проведении аварийно-спасательных работ, а также обладать необходимыми эргономическими свойствами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самостоятельному перемещению людей в безопасную зону при наличии угрозы их жизни (здоровью) в результате воздействия опасных факторов пожара, страховки людей при их спасении при пожаре и при выполнении работ пожарными на высотных уровнях и их самостоятельном спуске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постоянной готовности к использованию, требуемой надежности (при статической и динамической нагрузках в пределах рабочих значений температур, при воздействии нагрева и открытого пламени), доступности, простоте и безопасности их применения людьми, не имеющими специальной подготовки, самостоятельному, так и принудительному индивидуальному или коллективному перемещению людей в безопасную зону при наличии угрозы их жизни (здоровью) в результате воздействия опасных факторов пожара или в иных чрезвычайных ситуациях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средств спасения людей при пожаре с высотных уровней следующей классификации:</w:t>
            </w:r>
          </w:p>
          <w:p>
            <w:pPr>
              <w:spacing w:after="20"/>
              <w:ind w:left="20"/>
              <w:jc w:val="both"/>
            </w:pPr>
            <w:r>
              <w:rPr>
                <w:rFonts w:ascii="Times New Roman"/>
                <w:b w:val="false"/>
                <w:i w:val="false"/>
                <w:color w:val="000000"/>
                <w:sz w:val="20"/>
              </w:rPr>
              <w:t>
1) по направлению действия: подъемно-спускные, спускные;</w:t>
            </w:r>
          </w:p>
          <w:p>
            <w:pPr>
              <w:spacing w:after="20"/>
              <w:ind w:left="20"/>
              <w:jc w:val="both"/>
            </w:pPr>
            <w:r>
              <w:rPr>
                <w:rFonts w:ascii="Times New Roman"/>
                <w:b w:val="false"/>
                <w:i w:val="false"/>
                <w:color w:val="000000"/>
                <w:sz w:val="20"/>
              </w:rPr>
              <w:t>
2) по способу установки и базирования: стационарные, мобильные, переносные;</w:t>
            </w:r>
          </w:p>
          <w:p>
            <w:pPr>
              <w:spacing w:after="20"/>
              <w:ind w:left="20"/>
              <w:jc w:val="both"/>
            </w:pPr>
            <w:r>
              <w:rPr>
                <w:rFonts w:ascii="Times New Roman"/>
                <w:b w:val="false"/>
                <w:i w:val="false"/>
                <w:color w:val="000000"/>
                <w:sz w:val="20"/>
              </w:rPr>
              <w:t>
3) по взаимосвязи с этапами строительства и эксплуатации: предусмотренные архитектурно-планировочными решениями, изначально предусмотренные архитектурно-планировочными решениями;</w:t>
            </w:r>
          </w:p>
          <w:p>
            <w:pPr>
              <w:spacing w:after="20"/>
              <w:ind w:left="20"/>
              <w:jc w:val="both"/>
            </w:pPr>
            <w:r>
              <w:rPr>
                <w:rFonts w:ascii="Times New Roman"/>
                <w:b w:val="false"/>
                <w:i w:val="false"/>
                <w:color w:val="000000"/>
                <w:sz w:val="20"/>
              </w:rPr>
              <w:t>
4) по конструктивному исполнению: устройства канатно-спускные пожарные, рукава спасательные пожарные, устройства спасательные прыжковые пожарные, трапы спасательные пожарные, лестницы ручные пожарные, лестницы навесные спасательные пожарные, веревки пожарные спасательные, пояса пожарные спасательные, карабины пожарные, агрегатно-комбинированные (в том числе устройства спасательные лифтовые);</w:t>
            </w:r>
          </w:p>
          <w:p>
            <w:pPr>
              <w:spacing w:after="20"/>
              <w:ind w:left="20"/>
              <w:jc w:val="both"/>
            </w:pPr>
            <w:r>
              <w:rPr>
                <w:rFonts w:ascii="Times New Roman"/>
                <w:b w:val="false"/>
                <w:i w:val="false"/>
                <w:color w:val="000000"/>
                <w:sz w:val="20"/>
              </w:rPr>
              <w:t>
5) по производительности: индивидуальные (в том числе одноразовые), групповые (коллективные);</w:t>
            </w:r>
          </w:p>
          <w:p>
            <w:pPr>
              <w:spacing w:after="20"/>
              <w:ind w:left="20"/>
              <w:jc w:val="both"/>
            </w:pPr>
            <w:r>
              <w:rPr>
                <w:rFonts w:ascii="Times New Roman"/>
                <w:b w:val="false"/>
                <w:i w:val="false"/>
                <w:color w:val="000000"/>
                <w:sz w:val="20"/>
              </w:rPr>
              <w:t>
6) по способу управления: с ручным регулированием скорости спуска, с автоматическим регулированием скорости спуска;</w:t>
            </w:r>
          </w:p>
          <w:p>
            <w:pPr>
              <w:spacing w:after="20"/>
              <w:ind w:left="20"/>
              <w:jc w:val="both"/>
            </w:pPr>
            <w:r>
              <w:rPr>
                <w:rFonts w:ascii="Times New Roman"/>
                <w:b w:val="false"/>
                <w:i w:val="false"/>
                <w:color w:val="000000"/>
                <w:sz w:val="20"/>
              </w:rPr>
              <w:t>
по высоте спуска: с ограничением высоты спуска, без ограничения высоты спуска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в зависимости от его функционального назначения, выполняющего:</w:t>
            </w:r>
          </w:p>
          <w:p>
            <w:pPr>
              <w:spacing w:after="20"/>
              <w:ind w:left="20"/>
              <w:jc w:val="both"/>
            </w:pPr>
            <w:r>
              <w:rPr>
                <w:rFonts w:ascii="Times New Roman"/>
                <w:b w:val="false"/>
                <w:i w:val="false"/>
                <w:color w:val="000000"/>
                <w:sz w:val="20"/>
              </w:rPr>
              <w:t>
1) резку и перекусывание (в том числе металлического профиля и элементов строительных конструкций);</w:t>
            </w:r>
          </w:p>
          <w:p>
            <w:pPr>
              <w:spacing w:after="20"/>
              <w:ind w:left="20"/>
              <w:jc w:val="both"/>
            </w:pPr>
            <w:r>
              <w:rPr>
                <w:rFonts w:ascii="Times New Roman"/>
                <w:b w:val="false"/>
                <w:i w:val="false"/>
                <w:color w:val="000000"/>
                <w:sz w:val="20"/>
              </w:rPr>
              <w:t>
2) подъем, перемещение и фиксацию различных строительных конструкций;</w:t>
            </w:r>
          </w:p>
          <w:p>
            <w:pPr>
              <w:spacing w:after="20"/>
              <w:ind w:left="20"/>
              <w:jc w:val="both"/>
            </w:pPr>
            <w:r>
              <w:rPr>
                <w:rFonts w:ascii="Times New Roman"/>
                <w:b w:val="false"/>
                <w:i w:val="false"/>
                <w:color w:val="000000"/>
                <w:sz w:val="20"/>
              </w:rPr>
              <w:t>
3) пробивание отверстий и проемов, дробление строительных конструкций и материалов;</w:t>
            </w:r>
          </w:p>
          <w:p>
            <w:pPr>
              <w:spacing w:after="20"/>
              <w:ind w:left="20"/>
              <w:jc w:val="both"/>
            </w:pPr>
            <w:r>
              <w:rPr>
                <w:rFonts w:ascii="Times New Roman"/>
                <w:b w:val="false"/>
                <w:i w:val="false"/>
                <w:color w:val="000000"/>
                <w:sz w:val="20"/>
              </w:rPr>
              <w:t>
4) вскрытие различных металлических конструкций (в том числе дверных и оконных проемов);</w:t>
            </w:r>
          </w:p>
          <w:p>
            <w:pPr>
              <w:spacing w:after="20"/>
              <w:ind w:left="20"/>
              <w:jc w:val="both"/>
            </w:pPr>
            <w:r>
              <w:rPr>
                <w:rFonts w:ascii="Times New Roman"/>
                <w:b w:val="false"/>
                <w:i w:val="false"/>
                <w:color w:val="000000"/>
                <w:sz w:val="20"/>
              </w:rPr>
              <w:t>
7) закупорку отверстий в трубах различного диаметра, заделку пробоин в емкостях и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инструмента для проведения специальных работ на пожарах оснащению предохранительными устройствами, препятствующими случайному попаданию в подвижные механизмы инструмента частей тела человека или одежды.</w:t>
            </w:r>
          </w:p>
          <w:p>
            <w:pPr>
              <w:spacing w:after="20"/>
              <w:ind w:left="20"/>
              <w:jc w:val="both"/>
            </w:pPr>
            <w:r>
              <w:rPr>
                <w:rFonts w:ascii="Times New Roman"/>
                <w:b w:val="false"/>
                <w:i w:val="false"/>
                <w:color w:val="000000"/>
                <w:sz w:val="20"/>
              </w:rPr>
              <w:t>
5) Органы управления инструмента для проведения специальных работ на пожарах снабжены указателями, исключающими неоднозначное толкование размещенной на них информации. Конструкция стыковочных узлов инструмента для проведения специальных работ на пожарах обеспечивать быстрое и надежное их соединение вручную без применения ключей или другого слесарного инструмента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дополнительного снаряжения пожарных (фонари пожарные, тепловизоры, радиомаяки и звуковые маяки) в зависимости от его назначения освещению места пожара, поиску очагов пожара и людей в задымленной атмосфере, обозначению месторасположения пожарных, а также выполнению работ при тушении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пожарного оборудования подачи огнетушащих веществ к месту пожара с требуемым расходом и рабочим давлением, необходимым для тушения пожара в соответствии с тактикой тушения пожаров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гидрантов пожарных возможности их установки на сетях наружного водопровода и отбор воды для целей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колонок пожарных открыванию (закрывания) подземных гидрантов и присоединения пожарных рукавов для отбора воды из водопроводных сетей и ее подачи для целей пожаротушения. Механические усилия на органах управления перекрывающих устройств колонки пожарной при рабочем давлении не превышать 150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рукавов пожарных напорных и головок соединительных пожарных транспортированию огнетушащих веществ к месту пожара. Головки соединительные пожарные обеспечивать быстрое, герметичное и прочное соединение пожарных рукавов между собой и с другим пожарным оборудованием.</w:t>
            </w:r>
          </w:p>
          <w:p>
            <w:pPr>
              <w:spacing w:after="20"/>
              <w:ind w:left="20"/>
              <w:jc w:val="both"/>
            </w:pPr>
            <w:r>
              <w:rPr>
                <w:rFonts w:ascii="Times New Roman"/>
                <w:b w:val="false"/>
                <w:i w:val="false"/>
                <w:color w:val="000000"/>
                <w:sz w:val="20"/>
              </w:rPr>
              <w:t>
Рукава пожарные напорные и головки соединительные пожарные иметь прочностные и эксплуатационные характеристики в зависимости от их назначения.</w:t>
            </w:r>
          </w:p>
          <w:p>
            <w:pPr>
              <w:spacing w:after="20"/>
              <w:ind w:left="20"/>
              <w:jc w:val="both"/>
            </w:pPr>
            <w:r>
              <w:rPr>
                <w:rFonts w:ascii="Times New Roman"/>
                <w:b w:val="false"/>
                <w:i w:val="false"/>
                <w:color w:val="000000"/>
                <w:sz w:val="20"/>
              </w:rPr>
              <w:t>
Оборудование по обслуживанию рукавов пожарных напорных обеспечивать выполнение комплекса работ по поддержанию рукавов пожарных напорных в работоспособном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стволов пожарных, генераторов пены и пеносмесителей подачи огнетушащих веществ в очаг пожара и его тушению, защите (охлаждению) строительных конструкций, технологического оборудования, зданий, сооружений или их частей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стволов пожарных (ручных и лафетных) обеспечению:</w:t>
            </w:r>
          </w:p>
          <w:p>
            <w:pPr>
              <w:spacing w:after="20"/>
              <w:ind w:left="20"/>
              <w:jc w:val="both"/>
            </w:pPr>
            <w:r>
              <w:rPr>
                <w:rFonts w:ascii="Times New Roman"/>
                <w:b w:val="false"/>
                <w:i w:val="false"/>
                <w:color w:val="000000"/>
                <w:sz w:val="20"/>
              </w:rPr>
              <w:t>
1) формирования сплошной или распыленной струи огнетушащих веществ (в том числе воздушно-механической пены низкой и средней кратности) на выходе в зависимости от конструкции и назначения насадка;</w:t>
            </w:r>
          </w:p>
          <w:p>
            <w:pPr>
              <w:spacing w:after="20"/>
              <w:ind w:left="20"/>
              <w:jc w:val="both"/>
            </w:pPr>
            <w:r>
              <w:rPr>
                <w:rFonts w:ascii="Times New Roman"/>
                <w:b w:val="false"/>
                <w:i w:val="false"/>
                <w:color w:val="000000"/>
                <w:sz w:val="20"/>
              </w:rPr>
              <w:t>
2) равномерного распределения огнетушащих веществ по конусу факела распыленной струи;</w:t>
            </w:r>
          </w:p>
          <w:p>
            <w:pPr>
              <w:spacing w:after="20"/>
              <w:ind w:left="20"/>
              <w:jc w:val="both"/>
            </w:pPr>
            <w:r>
              <w:rPr>
                <w:rFonts w:ascii="Times New Roman"/>
                <w:b w:val="false"/>
                <w:i w:val="false"/>
                <w:color w:val="000000"/>
                <w:sz w:val="20"/>
              </w:rPr>
              <w:t>
3) бесступенчатого изменения вида струи от сплошной до распыленной;</w:t>
            </w:r>
          </w:p>
          <w:p>
            <w:pPr>
              <w:spacing w:after="20"/>
              <w:ind w:left="20"/>
              <w:jc w:val="both"/>
            </w:pPr>
            <w:r>
              <w:rPr>
                <w:rFonts w:ascii="Times New Roman"/>
                <w:b w:val="false"/>
                <w:i w:val="false"/>
                <w:color w:val="000000"/>
                <w:sz w:val="20"/>
              </w:rPr>
              <w:t>
4) изменению расхода огнетушащих веществ (для стволов пожарных универсального типа) без прекращения их подачи;</w:t>
            </w:r>
          </w:p>
          <w:p>
            <w:pPr>
              <w:spacing w:after="20"/>
              <w:ind w:left="20"/>
              <w:jc w:val="both"/>
            </w:pPr>
            <w:r>
              <w:rPr>
                <w:rFonts w:ascii="Times New Roman"/>
                <w:b w:val="false"/>
                <w:i w:val="false"/>
                <w:color w:val="000000"/>
                <w:sz w:val="20"/>
              </w:rPr>
              <w:t>
5) прочности ствола, герметичность соединений и перекрывных устройств при рабочем давлении;</w:t>
            </w:r>
          </w:p>
          <w:p>
            <w:pPr>
              <w:spacing w:after="20"/>
              <w:ind w:left="20"/>
              <w:jc w:val="both"/>
            </w:pPr>
            <w:r>
              <w:rPr>
                <w:rFonts w:ascii="Times New Roman"/>
                <w:b w:val="false"/>
                <w:i w:val="false"/>
                <w:color w:val="000000"/>
                <w:sz w:val="20"/>
              </w:rPr>
              <w:t>
6) фиксации положения лафетных стволов пожарных при заданных углах в вертикальной плоскости;</w:t>
            </w:r>
          </w:p>
          <w:p>
            <w:pPr>
              <w:spacing w:after="20"/>
              <w:ind w:left="20"/>
              <w:jc w:val="both"/>
            </w:pPr>
            <w:r>
              <w:rPr>
                <w:rFonts w:ascii="Times New Roman"/>
                <w:b w:val="false"/>
                <w:i w:val="false"/>
                <w:color w:val="000000"/>
                <w:sz w:val="20"/>
              </w:rPr>
              <w:t>
возможности ручного и дистанционного управления механизмами поворота лафетных стволов пожарных в горизонтальной и вертикальной плоскостях от гидро- или электропривода.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конструкции генераторов пены требованиям по формированию потока воздушно-механической пены низкой, средней, высокой кратности или их комбинации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пеносмесителей (с нерегулируемым и регулируемым дозированием) получению водного раствора пенообразователя с заданной концентрацией для образования пены определенной кратности в воздушно-пенных стволах и генераторах пены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водосборников рукавных объединению двух и более потоков воды перед входом во всасывающий патрубок пожарного насоса. Водосборники рукавные оборудованы обратными клапанами на каждом из объединяемых патрубков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разветвлений рукавных распределению магистрального потока воды или растворов пенообразователя по рабочим рукавным линиям и регулировку расхода огнетушащих веществ в этих линиях. Механические усилия на органах управления перекрывающих устройств разветвлений рукавных при рабочем давлении не должно превышать 150 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гидроэлеваторов пожарных требованиям по забору воды из открытых водоемов с разницей уровней зеркала воды и расположения пожарного насоса, превышающей максимальную высоту всасывания, а также удалению из помещений воды, пролитой при тушении пожара и при проведении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сеток всасывающих пожарных требованиям к фильтрации забираемой из открытых водоемов воды и предотвращению попадания твердых частиц, способных привести к нарушению работы насосов. Сетки всасывающие пожарные оборудованы обратными клапанами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лестниц ручных пожарных личного состава пожарных подразделений возможности проникновения в помещения и на крыши зданий и сооружений, подачи в указанные помещения огнетушащих веществ, а также спасения людей из таких помещений. Габаритные размеры и конструкция лестниц ручных пожарных обеспечивать возможность их транспортирования на пожарных автомобилях. Механическая прочность, размеры и эргономические и защитные показатели лестниц ручных пожарных обеспечивать возможность выполнения задач по спасению людей с высотных уровней и подъему необходимого пожарного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узлов пересечения противопожарных преград кабельными изделиями, шинопроводами, герметичными кабельными вводами, муфтами и трубопроводами инженерных систем зданий и сооружений предотвращению распространения опасных факторов пожара в примыкающие помещения в течение нормируемого времени в соответствии с их классификацией по пределам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заполнений проемов противопожарных преград (противопожарные окна, двери, двери шахт лифтов с нормируемым пределом огнестойкости, ворота, люки, шторы, роллеты, экраны, занавесы, клапаны противопожарные нормально открытые) предотвращению распространения опасных факторов пожара в течение нормируемого времени в соответствии с их классификацией по пределам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противопожарных дымогазонепроницаемых при требуемых пределах огнестойкости минимально необходимому значению сопротивления дымогазопроницанию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дверей дымонепроницаемых требованиям по препятствию распространения дыма при пожаре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технических средств, функционирующих в составе систем противодымной вентиляции, в зависимости от назначения выполнению одной или нескольких задач, в том числе предотвращению при пожаре задымлений помещений, лестничных клеток, лифтовых шахт, тамбур-шлюзов, зон безопасности с целью обеспечения безопасности людей и создании необходимых условий для выполнения пожарными подразделениями работ по спасению людей, обнаружении и локализации очага пожара в здании и сооружении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огнестойкости и выполнения из негорючих материалов конструкций воздуховодов, функционирующих в составе систем противодымной вентиляции.</w:t>
            </w:r>
          </w:p>
          <w:p>
            <w:pPr>
              <w:spacing w:after="20"/>
              <w:ind w:left="20"/>
              <w:jc w:val="both"/>
            </w:pPr>
            <w:r>
              <w:rPr>
                <w:rFonts w:ascii="Times New Roman"/>
                <w:b w:val="false"/>
                <w:i w:val="false"/>
                <w:color w:val="000000"/>
                <w:sz w:val="20"/>
              </w:rPr>
              <w:t>
Узлы пересечения ограждающих строительных конструкций с воздуховодами, функционирующими в составе систем противодымной вентиляции, иметь предел огнестойкости не ниже пределов, требуемых для таких воздуховодов. При этом элементы опор (подвесок) конструкций указанных воздуховодов иметь пределы огнестойкости по установленным для воздуховодов числовым значениям только по признаку потери несущей способности.</w:t>
            </w:r>
          </w:p>
          <w:p>
            <w:pPr>
              <w:spacing w:after="20"/>
              <w:ind w:left="20"/>
              <w:jc w:val="both"/>
            </w:pPr>
            <w:r>
              <w:rPr>
                <w:rFonts w:ascii="Times New Roman"/>
                <w:b w:val="false"/>
                <w:i w:val="false"/>
                <w:color w:val="000000"/>
                <w:sz w:val="20"/>
              </w:rPr>
              <w:t>
Для уплотнения разъемных соединений (в том числе фланцевых) конструкций огнестойких воздуховодов, функционирующих в составе систем противодымной вентиляции, допускается применение только негорючих материалов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обеспечению клапанов противопожарных нормально открытых и клапанов противопожарных нормально закрытых, функционирующих в составе систем противодымной вентиляции, автоматическим и дистанционно управляемым приводам.</w:t>
            </w:r>
          </w:p>
          <w:p>
            <w:pPr>
              <w:spacing w:after="20"/>
              <w:ind w:left="20"/>
              <w:jc w:val="both"/>
            </w:pPr>
            <w:r>
              <w:rPr>
                <w:rFonts w:ascii="Times New Roman"/>
                <w:b w:val="false"/>
                <w:i w:val="false"/>
                <w:color w:val="000000"/>
                <w:sz w:val="20"/>
              </w:rPr>
              <w:t>
Использование термочувствительных элементов в составе приводов клапанов противопожарных нормально открытых следует предусматривать только в качестве дублирующих. Для клапанов противопожарных нормально закрытых применение приводов с термочувствительными элементами не допускается. Клапаны противопожарные нормально открытые и клапаны противопожарные нормально закрытые обеспечивать при требуемых пределах огнестойкости минимально необходимые значения сопротивления дымогазопроницанию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люков дымовых с естественным побуждением тяги автоматическим и дистанционным управляемым приводам (с возможностью дублирования термоэлементами), обеспечивающим тяговые усилия, необходимых для преодоления механической (в том числе снеговой и ветровой) нагрузки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вытяжных вентиляторов, функционирующих в составе систем противодымной вентиляции, работоспособности при перемещении высокотемпературных продуктов горения в течение времени, необходимого для эвакуации людей (при защите людей на путях эвакуации), или в течение всего времени развития и тушения пожара (при защите людей в пожаробезопасных зонах)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требованию по обеспечению противодымных экранов (шторы, занавесы), функционирующих в составе систем противодымной вентиляции, автоматическим и дистанционно управляемым приводам (без термоэлементов) и выполнения из материалов на негорючей основе с рабочей длиной выпуска полотна, обеспечивающей ограничение распространения образующегося при пожаре дымового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фактических значений параметров технических средств, функционирующих в составе систем противодымной вентиляции (в том числе пределов огнестойкости и сопротивления дымогазопроницанию), результатам испытаний (измерений), необходимых для применения и исполнения требований безопасности и осуществления оценки (подтверждения) соответствия средств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средствах обеспечения пожарной безопасности и пожаротушения и на упаковке маркировки, содержащей информацию о наименовании, типе (виде), марке, модели, назначении, основных технических параметрах и характеристиках, товарный знак и наименование изготовителя, а также о стране-изготовителе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средство обеспечения пожарной безопасности и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нанесении маркировки на упаковку и внесении в техническую документацию, при невозможности нанести маркировки непосредственно на средство обеспечения пожарной безопасности и пожаротушения. Изготовитель самостоятельно устанавливает возможность или невозможность нанесения маркировки на средство обеспечения пожарной безопасности и пожаротушения. Маркировка средства обеспечения пожарной безопасности и пожаротушения разборчивой, легко читаемой и нанесена в доступном для осмотра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нефти, выпускаемой в обращение и находящееся в обращении на рынке Евразийского экономического союза, требованиям следующих показателей:</w:t>
            </w:r>
          </w:p>
          <w:p>
            <w:pPr>
              <w:spacing w:after="20"/>
              <w:ind w:left="20"/>
              <w:jc w:val="both"/>
            </w:pP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массовая доля сероводорода, млн (ppm);</w:t>
                  </w:r>
                </w:p>
                <w:p>
                  <w:pPr>
                    <w:spacing w:after="20"/>
                    <w:ind w:left="20"/>
                    <w:jc w:val="both"/>
                  </w:pPr>
                  <w:r>
                    <w:rPr>
                      <w:rFonts w:ascii="Times New Roman"/>
                      <w:b w:val="false"/>
                      <w:i w:val="false"/>
                      <w:color w:val="000000"/>
                      <w:sz w:val="20"/>
                    </w:rPr>
                    <w:t>
2) массовая доля метил- и этилмеркаптанов в сумме;</w:t>
                  </w:r>
                </w:p>
                <w:p>
                  <w:pPr>
                    <w:spacing w:after="20"/>
                    <w:ind w:left="20"/>
                    <w:jc w:val="both"/>
                  </w:pPr>
                  <w:r>
                    <w:rPr>
                      <w:rFonts w:ascii="Times New Roman"/>
                      <w:b w:val="false"/>
                      <w:i w:val="false"/>
                      <w:color w:val="000000"/>
                      <w:sz w:val="20"/>
                    </w:rPr>
                    <w:t>
3) массовая доля воды, %;</w:t>
                  </w:r>
                </w:p>
                <w:p>
                  <w:pPr>
                    <w:spacing w:after="20"/>
                    <w:ind w:left="20"/>
                    <w:jc w:val="both"/>
                  </w:pPr>
                  <w:r>
                    <w:rPr>
                      <w:rFonts w:ascii="Times New Roman"/>
                      <w:b w:val="false"/>
                      <w:i w:val="false"/>
                      <w:color w:val="000000"/>
                      <w:sz w:val="20"/>
                    </w:rPr>
                    <w:t>
4) массовая концентрация хлористых солей, мг/дм;</w:t>
                  </w:r>
                </w:p>
                <w:p>
                  <w:pPr>
                    <w:spacing w:after="20"/>
                    <w:ind w:left="20"/>
                    <w:jc w:val="both"/>
                  </w:pPr>
                  <w:r>
                    <w:rPr>
                      <w:rFonts w:ascii="Times New Roman"/>
                      <w:b w:val="false"/>
                      <w:i w:val="false"/>
                      <w:color w:val="000000"/>
                      <w:sz w:val="20"/>
                    </w:rPr>
                    <w:t>
5) давление насыщенных паров, кПа;</w:t>
                  </w:r>
                </w:p>
                <w:p>
                  <w:pPr>
                    <w:spacing w:after="20"/>
                    <w:ind w:left="20"/>
                    <w:jc w:val="both"/>
                  </w:pPr>
                  <w:r>
                    <w:rPr>
                      <w:rFonts w:ascii="Times New Roman"/>
                      <w:b w:val="false"/>
                      <w:i w:val="false"/>
                      <w:color w:val="000000"/>
                      <w:sz w:val="20"/>
                    </w:rPr>
                    <w:t>
6) массовая доля органических хлоридов во фракции, выкипающей до температуры 204°С, млн (ppm)</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
            <w:pPr>
              <w:spacing w:after="0"/>
              <w:ind w:left="0"/>
              <w:jc w:val="both"/>
            </w:pPr>
            <w:r>
              <w:rPr>
                <w:rFonts w:ascii="Times New Roman"/>
                <w:b w:val="false"/>
                <w:i w:val="false"/>
                <w:color w:val="000000"/>
                <w:sz w:val="20"/>
              </w:rPr>
              <w:t> </w:t>
            </w:r>
          </w:p>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недопущению применения химических реагентов, содержащих хлорорганические соединения при изготовлении (производстве) и транспортировке нефти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каждую партию нефти, выпускаемую в обращение и находящейся в обращении на рынке Евразийского экономического союза, паспорта, который содержит следующие сведения:</w:t>
            </w:r>
          </w:p>
          <w:p>
            <w:pPr>
              <w:spacing w:after="20"/>
              <w:ind w:left="20"/>
              <w:jc w:val="both"/>
            </w:pPr>
            <w:r>
              <w:rPr>
                <w:rFonts w:ascii="Times New Roman"/>
                <w:b w:val="false"/>
                <w:i w:val="false"/>
                <w:color w:val="000000"/>
                <w:sz w:val="20"/>
              </w:rPr>
              <w:t>
1) наименование, место нахождения (адрес) юридического лица (фамилия, имя и отчество (при наличии)), место жительства физического лица, зарегистрированного в качестве индивидуального предпринимателя, являющихся изготовителем (производителем) нефти или продавцом (в том числе импортером) либо уполномоченным изготовителем (производителем) нефти лицом, оформившим паспорт;</w:t>
            </w:r>
          </w:p>
          <w:p>
            <w:pPr>
              <w:spacing w:after="20"/>
              <w:ind w:left="20"/>
              <w:jc w:val="both"/>
            </w:pPr>
            <w:r>
              <w:rPr>
                <w:rFonts w:ascii="Times New Roman"/>
                <w:b w:val="false"/>
                <w:i w:val="false"/>
                <w:color w:val="000000"/>
                <w:sz w:val="20"/>
              </w:rPr>
              <w:t>
2) товарный знак изготовителя (производителя) нефти (при наличии);</w:t>
            </w:r>
          </w:p>
          <w:p>
            <w:pPr>
              <w:spacing w:after="20"/>
              <w:ind w:left="20"/>
              <w:jc w:val="both"/>
            </w:pPr>
            <w:r>
              <w:rPr>
                <w:rFonts w:ascii="Times New Roman"/>
                <w:b w:val="false"/>
                <w:i w:val="false"/>
                <w:color w:val="000000"/>
                <w:sz w:val="20"/>
              </w:rPr>
              <w:t>
3) обозначение и наименование документа, в соответствии с которым изготовлена (произведена) нефть (при наличии), и ее наименование и обозначение в соответствии с этим документом;</w:t>
            </w:r>
          </w:p>
          <w:p>
            <w:pPr>
              <w:spacing w:after="20"/>
              <w:ind w:left="20"/>
              <w:jc w:val="both"/>
            </w:pPr>
            <w:r>
              <w:rPr>
                <w:rFonts w:ascii="Times New Roman"/>
                <w:b w:val="false"/>
                <w:i w:val="false"/>
                <w:color w:val="000000"/>
                <w:sz w:val="20"/>
              </w:rPr>
              <w:t>
4) нормативные значения показателей нефти, установленные в требованиях к показателям нефти и в документе, в соответствии с которым изготовлена (произведена) нефть, а также фактические результаты лабораторных испытаний с указанием наименования собственной испытательной лаборатории и аккредитованной испытательной лаборатории;</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единый знак обращения продукции на рынке Евразийского экономического союза;</w:t>
            </w:r>
          </w:p>
          <w:p>
            <w:pPr>
              <w:spacing w:after="20"/>
              <w:ind w:left="20"/>
              <w:jc w:val="both"/>
            </w:pPr>
            <w:r>
              <w:rPr>
                <w:rFonts w:ascii="Times New Roman"/>
                <w:b w:val="false"/>
                <w:i w:val="false"/>
                <w:color w:val="000000"/>
                <w:sz w:val="20"/>
              </w:rPr>
              <w:t>
7) номер и дата выдачи паспорта;</w:t>
            </w:r>
          </w:p>
          <w:p>
            <w:pPr>
              <w:spacing w:after="20"/>
              <w:ind w:left="20"/>
              <w:jc w:val="both"/>
            </w:pPr>
            <w:r>
              <w:rPr>
                <w:rFonts w:ascii="Times New Roman"/>
                <w:b w:val="false"/>
                <w:i w:val="false"/>
                <w:color w:val="000000"/>
                <w:sz w:val="20"/>
              </w:rPr>
              <w:t>
8) фамилия, инициалы и подпись лица, оформившего паспорт.</w:t>
            </w:r>
          </w:p>
          <w:p>
            <w:pPr>
              <w:spacing w:after="20"/>
              <w:ind w:left="20"/>
              <w:jc w:val="both"/>
            </w:pPr>
            <w:r>
              <w:rPr>
                <w:rFonts w:ascii="Times New Roman"/>
                <w:b w:val="false"/>
                <w:i w:val="false"/>
                <w:color w:val="000000"/>
                <w:sz w:val="20"/>
              </w:rPr>
              <w:t>
Паспорт оформляется на русском языке и при наличии соответствующих требований в законодательстве государства - члена Евразийского экономического союза на государственном языке государства - члена Евразийского экономического союза, на территории которого осуществляется реализация нефти.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подготовленного к транспортированию, требованиям по показателям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промышленного и коммунально-бытового назначения требованиям по показателям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компримированного требованиям по показателям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газа горючего природного сжиженного требованиям по показателям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качества продукции газа горючего природного к каждой партии продукции, выпускаемой в обращение и находящейся в обращении, содержащим следующую информацию:</w:t>
            </w:r>
          </w:p>
          <w:p>
            <w:pPr>
              <w:spacing w:after="20"/>
              <w:ind w:left="20"/>
              <w:jc w:val="both"/>
            </w:pPr>
            <w:r>
              <w:rPr>
                <w:rFonts w:ascii="Times New Roman"/>
                <w:b w:val="false"/>
                <w:i w:val="false"/>
                <w:color w:val="000000"/>
                <w:sz w:val="20"/>
              </w:rPr>
              <w:t>
1) наименование, марка (при наличии) и условное обозначение продукции (при наличии);</w:t>
            </w:r>
          </w:p>
          <w:p>
            <w:pPr>
              <w:spacing w:after="20"/>
              <w:ind w:left="20"/>
              <w:jc w:val="both"/>
            </w:pPr>
            <w:r>
              <w:rPr>
                <w:rFonts w:ascii="Times New Roman"/>
                <w:b w:val="false"/>
                <w:i w:val="false"/>
                <w:color w:val="000000"/>
                <w:sz w:val="20"/>
              </w:rPr>
              <w:t>
2) наименование организации, оформляющей паспорт и осуществляющей либо производство, либо транспортирование, либо хранение, либо продажу продукции,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3) товарный знак изготовителя (при наличии) (проставляется в паспорте);</w:t>
            </w:r>
          </w:p>
          <w:p>
            <w:pPr>
              <w:spacing w:after="20"/>
              <w:ind w:left="20"/>
              <w:jc w:val="both"/>
            </w:pPr>
            <w:r>
              <w:rPr>
                <w:rFonts w:ascii="Times New Roman"/>
                <w:b w:val="false"/>
                <w:i w:val="false"/>
                <w:color w:val="000000"/>
                <w:sz w:val="20"/>
              </w:rPr>
              <w:t>
4) наименование уполномоченного изготовителем лица, его место нахождения (адрес юридического лица) - для юридического лица или фамилия, имя и отчество (при наличии), место жительства - для физического лица, зарегистрированного в качестве индивидуального предпринимателя;</w:t>
            </w:r>
          </w:p>
          <w:p>
            <w:pPr>
              <w:spacing w:after="20"/>
              <w:ind w:left="20"/>
              <w:jc w:val="both"/>
            </w:pPr>
            <w:r>
              <w:rPr>
                <w:rFonts w:ascii="Times New Roman"/>
                <w:b w:val="false"/>
                <w:i w:val="false"/>
                <w:color w:val="000000"/>
                <w:sz w:val="20"/>
              </w:rPr>
              <w:t>
5) обозначение и наименование документа, в соответствии с которым произведена продукция;</w:t>
            </w:r>
          </w:p>
          <w:p>
            <w:pPr>
              <w:spacing w:after="20"/>
              <w:ind w:left="20"/>
              <w:jc w:val="both"/>
            </w:pPr>
            <w:r>
              <w:rPr>
                <w:rFonts w:ascii="Times New Roman"/>
                <w:b w:val="false"/>
                <w:i w:val="false"/>
                <w:color w:val="000000"/>
                <w:sz w:val="20"/>
              </w:rPr>
              <w:t>
6) нормативные значения и фактические результаты испытаний, подтверждающие соответствие продукции;</w:t>
            </w:r>
          </w:p>
          <w:p>
            <w:pPr>
              <w:spacing w:after="20"/>
              <w:ind w:left="20"/>
              <w:jc w:val="both"/>
            </w:pPr>
            <w:r>
              <w:rPr>
                <w:rFonts w:ascii="Times New Roman"/>
                <w:b w:val="false"/>
                <w:i w:val="false"/>
                <w:color w:val="000000"/>
                <w:sz w:val="20"/>
              </w:rPr>
              <w:t>
7) номер партии (при наличии), период (дата) поставки;</w:t>
            </w:r>
          </w:p>
          <w:p>
            <w:pPr>
              <w:spacing w:after="20"/>
              <w:ind w:left="20"/>
              <w:jc w:val="both"/>
            </w:pPr>
            <w:r>
              <w:rPr>
                <w:rFonts w:ascii="Times New Roman"/>
                <w:b w:val="false"/>
                <w:i w:val="false"/>
                <w:color w:val="000000"/>
                <w:sz w:val="20"/>
              </w:rPr>
              <w:t>
8) единый знак обращения продукции на рынке Евразийского экономического союза (проставляется в паспорте);</w:t>
            </w:r>
          </w:p>
          <w:p>
            <w:pPr>
              <w:spacing w:after="20"/>
              <w:ind w:left="20"/>
              <w:jc w:val="both"/>
            </w:pPr>
            <w:r>
              <w:rPr>
                <w:rFonts w:ascii="Times New Roman"/>
                <w:b w:val="false"/>
                <w:i w:val="false"/>
                <w:color w:val="000000"/>
                <w:sz w:val="20"/>
              </w:rPr>
              <w:t>
9) номер и дата выдачи паспорта;</w:t>
            </w:r>
          </w:p>
          <w:p>
            <w:pPr>
              <w:spacing w:after="20"/>
              <w:ind w:left="20"/>
              <w:jc w:val="both"/>
            </w:pPr>
            <w:r>
              <w:rPr>
                <w:rFonts w:ascii="Times New Roman"/>
                <w:b w:val="false"/>
                <w:i w:val="false"/>
                <w:color w:val="000000"/>
                <w:sz w:val="20"/>
              </w:rPr>
              <w:t>
10) подпись и расшифровка подписи лица, оформившего паспорт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сопроводительной документации на партию продукции газа горючего природного, выпускаемой в обращение, на русском языке и при наличии соответствующих требований в законодательстве государств - членов Евразийского экономического союза на государственном языке государства-члена, на территории которого данная партия будет находиться в обращении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энергопотребляющих устройств, требованиям к энергетической эффективности при его применении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энергопотребляющих устройствах маркировки, с указанием наименования и обозначения устройства (тип, марка, модель), его основные параметры, наименования и товарного знака (при наличии) изготовителя, наименования страны, на территории которой изготовлено устройство. Указанные сведения наносятся на устройство и указываются в прилагаемых к нему эксплуатационных документах.</w:t>
            </w:r>
          </w:p>
          <w:p>
            <w:pPr>
              <w:spacing w:after="20"/>
              <w:ind w:left="20"/>
              <w:jc w:val="both"/>
            </w:pPr>
            <w:r>
              <w:rPr>
                <w:rFonts w:ascii="Times New Roman"/>
                <w:b w:val="false"/>
                <w:i w:val="false"/>
                <w:color w:val="000000"/>
                <w:sz w:val="20"/>
              </w:rPr>
              <w:t xml:space="preserve">
Наименование, товарный знак (при наличии) изготовителя, наименование и обозначение устройства (тип, марка, модель) наносятся на упаковку устройства. </w:t>
            </w:r>
          </w:p>
          <w:p>
            <w:pPr>
              <w:spacing w:after="20"/>
              <w:ind w:left="20"/>
              <w:jc w:val="both"/>
            </w:pPr>
            <w:r>
              <w:rPr>
                <w:rFonts w:ascii="Times New Roman"/>
                <w:b w:val="false"/>
                <w:i w:val="false"/>
                <w:color w:val="000000"/>
                <w:sz w:val="20"/>
              </w:rPr>
              <w:t>
Если эти сведения невозможно нанести на устройство, они указываются только в прилагаемых к этому устройству эксплуатационных документах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на энергопотребляющем устройстве разборчивой, легко читаемой и нанесенной на устройство в месте, доступном для осмотра без разборки с применением инструмента маркировки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эксплуатационных документов энергопотребляющих устройств, содержащих следующее:</w:t>
            </w:r>
          </w:p>
          <w:p>
            <w:pPr>
              <w:spacing w:after="20"/>
              <w:ind w:left="20"/>
              <w:jc w:val="both"/>
            </w:pPr>
            <w:r>
              <w:rPr>
                <w:rFonts w:ascii="Times New Roman"/>
                <w:b w:val="false"/>
                <w:i w:val="false"/>
                <w:color w:val="000000"/>
                <w:sz w:val="20"/>
              </w:rPr>
              <w:t>
1) маркировку с соответствующей информацией;</w:t>
            </w:r>
          </w:p>
          <w:p>
            <w:pPr>
              <w:spacing w:after="20"/>
              <w:ind w:left="20"/>
              <w:jc w:val="both"/>
            </w:pPr>
            <w:r>
              <w:rPr>
                <w:rFonts w:ascii="Times New Roman"/>
                <w:b w:val="false"/>
                <w:i w:val="false"/>
                <w:color w:val="000000"/>
                <w:sz w:val="20"/>
              </w:rPr>
              <w:t>
2) информацию о назначении устройства;</w:t>
            </w:r>
          </w:p>
          <w:p>
            <w:pPr>
              <w:spacing w:after="20"/>
              <w:ind w:left="20"/>
              <w:jc w:val="both"/>
            </w:pPr>
            <w:r>
              <w:rPr>
                <w:rFonts w:ascii="Times New Roman"/>
                <w:b w:val="false"/>
                <w:i w:val="false"/>
                <w:color w:val="000000"/>
                <w:sz w:val="20"/>
              </w:rPr>
              <w:t>
3) правила и условия монтажа устройства, его подключения к сети и другим необходимым для применения устройства по назначению источникам топливно-энергетических ресурсов, пуска, регулирования и введения в эксплуатацию (соблюдение указанных правил и условий является необходимым для обеспечения соответствия устройства);</w:t>
            </w:r>
          </w:p>
          <w:p>
            <w:pPr>
              <w:spacing w:after="20"/>
              <w:ind w:left="20"/>
              <w:jc w:val="both"/>
            </w:pPr>
            <w:r>
              <w:rPr>
                <w:rFonts w:ascii="Times New Roman"/>
                <w:b w:val="false"/>
                <w:i w:val="false"/>
                <w:color w:val="000000"/>
                <w:sz w:val="20"/>
              </w:rPr>
              <w:t>
4) характеристики и параметры;</w:t>
            </w:r>
          </w:p>
          <w:p>
            <w:pPr>
              <w:spacing w:after="20"/>
              <w:ind w:left="20"/>
              <w:jc w:val="both"/>
            </w:pPr>
            <w:r>
              <w:rPr>
                <w:rFonts w:ascii="Times New Roman"/>
                <w:b w:val="false"/>
                <w:i w:val="false"/>
                <w:color w:val="000000"/>
                <w:sz w:val="20"/>
              </w:rPr>
              <w:t>
5) наименования и места нахождения изготовителя (уполномоченного изготовителем лица), импортера, информацию для связи с ними;</w:t>
            </w:r>
          </w:p>
          <w:p>
            <w:pPr>
              <w:spacing w:after="20"/>
              <w:ind w:left="20"/>
              <w:jc w:val="both"/>
            </w:pPr>
            <w:r>
              <w:rPr>
                <w:rFonts w:ascii="Times New Roman"/>
                <w:b w:val="false"/>
                <w:i w:val="false"/>
                <w:color w:val="000000"/>
                <w:sz w:val="20"/>
              </w:rPr>
              <w:t>
6) месяц и год изготовления устройства и информацию о месте нанесения или способе определения этих сведений;</w:t>
            </w:r>
          </w:p>
          <w:p>
            <w:pPr>
              <w:spacing w:after="20"/>
              <w:ind w:left="20"/>
              <w:jc w:val="both"/>
            </w:pPr>
            <w:r>
              <w:rPr>
                <w:rFonts w:ascii="Times New Roman"/>
                <w:b w:val="false"/>
                <w:i w:val="false"/>
                <w:color w:val="000000"/>
                <w:sz w:val="20"/>
              </w:rPr>
              <w:t>
7) этикетку и технический лист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энергопотребляющих устройств классу энергетической эффективности устройства и его энергетической эффективности. </w:t>
            </w:r>
          </w:p>
          <w:p>
            <w:pPr>
              <w:spacing w:after="20"/>
              <w:ind w:left="20"/>
              <w:jc w:val="both"/>
            </w:pPr>
            <w:r>
              <w:rPr>
                <w:rFonts w:ascii="Times New Roman"/>
                <w:b w:val="false"/>
                <w:i w:val="false"/>
                <w:color w:val="000000"/>
                <w:sz w:val="20"/>
              </w:rPr>
              <w:t>
Информация о классе энергетической эффективности и об энергетической эффективности устройства размещается изготовителем (уполномоченным изготовителем лицом), импортером на этикетке, предназначенной для маркировки демонстрационных образцов устройств, поступающих в продажу.</w:t>
            </w:r>
          </w:p>
          <w:p>
            <w:pPr>
              <w:spacing w:after="20"/>
              <w:ind w:left="20"/>
              <w:jc w:val="both"/>
            </w:pPr>
            <w:r>
              <w:rPr>
                <w:rFonts w:ascii="Times New Roman"/>
                <w:b w:val="false"/>
                <w:i w:val="false"/>
                <w:color w:val="000000"/>
                <w:sz w:val="20"/>
              </w:rPr>
              <w:t>
Изготовитель (уполномоченное изготовителем лицо), импортер обеспечивают наличие этикетки, в том числе для маркировки демонстрационных образцов устройств, поступающих в продажу, и эксплуатационных документов в соответствии с требованиями.</w:t>
            </w:r>
          </w:p>
          <w:p>
            <w:pPr>
              <w:spacing w:after="20"/>
              <w:ind w:left="20"/>
              <w:jc w:val="both"/>
            </w:pPr>
            <w:r>
              <w:rPr>
                <w:rFonts w:ascii="Times New Roman"/>
                <w:b w:val="false"/>
                <w:i w:val="false"/>
                <w:color w:val="000000"/>
                <w:sz w:val="20"/>
              </w:rPr>
              <w:t>
Продавец наносит этикетку на образец устройства в месте продаж. Этикетки располагаться на видном месте, быть легко читаемыми.</w:t>
            </w:r>
          </w:p>
          <w:p>
            <w:pPr>
              <w:spacing w:after="20"/>
              <w:ind w:left="20"/>
              <w:jc w:val="both"/>
            </w:pPr>
            <w:r>
              <w:rPr>
                <w:rFonts w:ascii="Times New Roman"/>
                <w:b w:val="false"/>
                <w:i w:val="false"/>
                <w:color w:val="000000"/>
                <w:sz w:val="20"/>
              </w:rPr>
              <w:t>
При продаже устройства дистанционным способом продавцом до заключения договора купли-продажи предоставляется потребителю информация о показателях энергетической эффективности.</w:t>
            </w:r>
          </w:p>
          <w:p>
            <w:pPr>
              <w:spacing w:after="20"/>
              <w:ind w:left="20"/>
              <w:jc w:val="both"/>
            </w:pPr>
            <w:r>
              <w:rPr>
                <w:rFonts w:ascii="Times New Roman"/>
                <w:b w:val="false"/>
                <w:i w:val="false"/>
                <w:color w:val="000000"/>
                <w:sz w:val="20"/>
              </w:rPr>
              <w:t>
Технический лист и этикетка включать в себя следующие сведения:</w:t>
            </w:r>
          </w:p>
          <w:p>
            <w:pPr>
              <w:spacing w:after="20"/>
              <w:ind w:left="20"/>
              <w:jc w:val="both"/>
            </w:pPr>
            <w:r>
              <w:rPr>
                <w:rFonts w:ascii="Times New Roman"/>
                <w:b w:val="false"/>
                <w:i w:val="false"/>
                <w:color w:val="000000"/>
                <w:sz w:val="20"/>
              </w:rPr>
              <w:t>
наименование и товарный знак (при наличии) изготовителя, обозначение модели;</w:t>
            </w:r>
          </w:p>
          <w:p>
            <w:pPr>
              <w:spacing w:after="20"/>
              <w:ind w:left="20"/>
              <w:jc w:val="both"/>
            </w:pPr>
            <w:r>
              <w:rPr>
                <w:rFonts w:ascii="Times New Roman"/>
                <w:b w:val="false"/>
                <w:i w:val="false"/>
                <w:color w:val="000000"/>
                <w:sz w:val="20"/>
              </w:rPr>
              <w:t>
информация о классе энергетической эффективности устройства;</w:t>
            </w:r>
          </w:p>
          <w:p>
            <w:pPr>
              <w:spacing w:after="20"/>
              <w:ind w:left="20"/>
              <w:jc w:val="both"/>
            </w:pPr>
            <w:r>
              <w:rPr>
                <w:rFonts w:ascii="Times New Roman"/>
                <w:b w:val="false"/>
                <w:i w:val="false"/>
                <w:color w:val="000000"/>
                <w:sz w:val="20"/>
              </w:rPr>
              <w:t>
показатели энергетической эффективности и их номинальные значения;</w:t>
            </w:r>
          </w:p>
          <w:p>
            <w:pPr>
              <w:spacing w:after="20"/>
              <w:ind w:left="20"/>
              <w:jc w:val="both"/>
            </w:pPr>
            <w:r>
              <w:rPr>
                <w:rFonts w:ascii="Times New Roman"/>
                <w:b w:val="false"/>
                <w:i w:val="false"/>
                <w:color w:val="000000"/>
                <w:sz w:val="20"/>
              </w:rPr>
              <w:t>
Наличие технического листа и этикетки является обязательным условием обращения устройства на территории Евразийского экономического союза. Технический лист и этикетка оформляются изготовителем (уполномоченным изготовителем лицом) либо импортером.</w:t>
            </w:r>
          </w:p>
          <w:p>
            <w:pPr>
              <w:spacing w:after="20"/>
              <w:ind w:left="20"/>
              <w:jc w:val="both"/>
            </w:pPr>
            <w:r>
              <w:rPr>
                <w:rFonts w:ascii="Times New Roman"/>
                <w:b w:val="false"/>
                <w:i w:val="false"/>
                <w:color w:val="000000"/>
                <w:sz w:val="20"/>
              </w:rPr>
              <w:t xml:space="preserve">
Технический лист заполняется на русском языке, при наличии соответствующего требования в законодательстве государства-члена Евразийского экономического союза на государственном языке государства-члена, на территории которого реализуется устройство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эксплуатационных документов энергопотребляющих устройств на русском языке и при наличии соответствующих требований в законодательстве государств-членов Евразийского экономического союза на государственном языке государства-члена, на территории которого реализуется устройство. </w:t>
            </w:r>
          </w:p>
          <w:p>
            <w:pPr>
              <w:spacing w:after="20"/>
              <w:ind w:left="20"/>
              <w:jc w:val="both"/>
            </w:pPr>
            <w:r>
              <w:rPr>
                <w:rFonts w:ascii="Times New Roman"/>
                <w:b w:val="false"/>
                <w:i w:val="false"/>
                <w:color w:val="000000"/>
                <w:sz w:val="20"/>
              </w:rPr>
              <w:t>
Эксплуатационные документы составляются в виде документов на бумажных носителях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о наличии эксплуатационной документации при вводе в эксплуатацию магистрального трубопровода (объекта магистрального трубопровода).</w:t>
            </w:r>
          </w:p>
          <w:p>
            <w:pPr>
              <w:spacing w:after="20"/>
              <w:ind w:left="20"/>
              <w:jc w:val="both"/>
            </w:pPr>
            <w:r>
              <w:rPr>
                <w:rFonts w:ascii="Times New Roman"/>
                <w:b w:val="false"/>
                <w:i w:val="false"/>
                <w:color w:val="000000"/>
                <w:sz w:val="20"/>
              </w:rPr>
              <w:t>
Эксплуатационная документация формируется эксплуатирующей организацией на основании проектной документации и документации, включаемой в комплект поставки технических устройств, машин и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требованиям по безопасности магистрального трубопровода посредством обеспечения следующих мер:</w:t>
            </w:r>
          </w:p>
          <w:p>
            <w:pPr>
              <w:spacing w:after="20"/>
              <w:ind w:left="20"/>
              <w:jc w:val="both"/>
            </w:pPr>
            <w:r>
              <w:rPr>
                <w:rFonts w:ascii="Times New Roman"/>
                <w:b w:val="false"/>
                <w:i w:val="false"/>
                <w:color w:val="000000"/>
                <w:sz w:val="20"/>
              </w:rPr>
              <w:t>
1) осуществления комплекса научно-исследовательских, технологических, опытно-конструкторских и проектно-изыскательских работ и внедрения их результатов, направленных на повышение безопасности, эксплуатационной и энергетической эффективности объектов магистрального трубопровода, а также применяемых технологий, технических устройств, машин, оборудования и материалов;</w:t>
            </w:r>
          </w:p>
          <w:p>
            <w:pPr>
              <w:spacing w:after="20"/>
              <w:ind w:left="20"/>
              <w:jc w:val="both"/>
            </w:pPr>
            <w:r>
              <w:rPr>
                <w:rFonts w:ascii="Times New Roman"/>
                <w:b w:val="false"/>
                <w:i w:val="false"/>
                <w:color w:val="000000"/>
                <w:sz w:val="20"/>
              </w:rPr>
              <w:t>
2) соблюдения технологических режимов эксплуатации магистрального трубопровода, проведения технического обслуживания, технического диагностирования и поддержания установленных эксплуатационных параметров;</w:t>
            </w:r>
          </w:p>
          <w:p>
            <w:pPr>
              <w:spacing w:after="20"/>
              <w:ind w:left="20"/>
              <w:jc w:val="both"/>
            </w:pPr>
            <w:r>
              <w:rPr>
                <w:rFonts w:ascii="Times New Roman"/>
                <w:b w:val="false"/>
                <w:i w:val="false"/>
                <w:color w:val="000000"/>
                <w:sz w:val="20"/>
              </w:rPr>
              <w:t>
3) выполнения расчетов по определению значений эксплуатационных параметров объектов магистрального трубопровода, обеспечивающих их безопасность, энергетическую эффективность и ресурсосбережение, использования их результатов;</w:t>
            </w:r>
          </w:p>
          <w:p>
            <w:pPr>
              <w:spacing w:after="20"/>
              <w:ind w:left="20"/>
              <w:jc w:val="both"/>
            </w:pPr>
            <w:r>
              <w:rPr>
                <w:rFonts w:ascii="Times New Roman"/>
                <w:b w:val="false"/>
                <w:i w:val="false"/>
                <w:color w:val="000000"/>
                <w:sz w:val="20"/>
              </w:rPr>
              <w:t>
4) проведения оценки соответствия магистрального трубопровода;</w:t>
            </w:r>
          </w:p>
          <w:p>
            <w:pPr>
              <w:spacing w:after="20"/>
              <w:ind w:left="20"/>
              <w:jc w:val="both"/>
            </w:pPr>
            <w:r>
              <w:rPr>
                <w:rFonts w:ascii="Times New Roman"/>
                <w:b w:val="false"/>
                <w:i w:val="false"/>
                <w:color w:val="000000"/>
                <w:sz w:val="20"/>
              </w:rPr>
              <w:t>
5) установления охранных зон в соответствии с характеристиками границ;</w:t>
            </w:r>
          </w:p>
          <w:p>
            <w:pPr>
              <w:spacing w:after="20"/>
              <w:ind w:left="20"/>
              <w:jc w:val="both"/>
            </w:pPr>
            <w:r>
              <w:rPr>
                <w:rFonts w:ascii="Times New Roman"/>
                <w:b w:val="false"/>
                <w:i w:val="false"/>
                <w:color w:val="000000"/>
                <w:sz w:val="20"/>
              </w:rPr>
              <w:t>
6) обеспечения надежности систем управления технологическими процессами и производственной деятельностью объектов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защите от коррозионного воздействия объектов магистрального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контроля технического состояния трубопровода проектной документацией предусмотрены инженерно-технические решения по очистке внутренней полости и внутритрубному диагностированию трубопровода.</w:t>
            </w:r>
          </w:p>
          <w:p>
            <w:pPr>
              <w:spacing w:after="20"/>
              <w:ind w:left="20"/>
              <w:jc w:val="both"/>
            </w:pPr>
            <w:r>
              <w:rPr>
                <w:rFonts w:ascii="Times New Roman"/>
                <w:b w:val="false"/>
                <w:i w:val="false"/>
                <w:color w:val="000000"/>
                <w:sz w:val="20"/>
              </w:rPr>
              <w:t>
Конструкция трубопровода обеспечивать беспрепятственное прохождение внутритрубных очистных, диагностических, а также разделительных устройств, применяемых для обеспечения последовательной перекачки жидких углеводородов, и оснащена узлами запуска (пуска) и приема таких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после завершения строительства (реконструкции) трубопровода для транспортирования жидких углеводородов номинальным диаметром DN 150 и более и газообразных углеводородов номинальным диаметром DN 300 и более, а также для восстановления несущей способности участка такого трубопровода с заменой труб в соответствии с проектной документацией проводится:</w:t>
            </w:r>
          </w:p>
          <w:p>
            <w:pPr>
              <w:spacing w:after="20"/>
              <w:ind w:left="20"/>
              <w:jc w:val="both"/>
            </w:pPr>
            <w:r>
              <w:rPr>
                <w:rFonts w:ascii="Times New Roman"/>
                <w:b w:val="false"/>
                <w:i w:val="false"/>
                <w:color w:val="000000"/>
                <w:sz w:val="20"/>
              </w:rPr>
              <w:t>
1) контроль геометрических параметров участков трубопровода протяженностью 1 000 м и более путем пропуска внутритрубного инспекционного прибора;</w:t>
            </w:r>
          </w:p>
          <w:p>
            <w:pPr>
              <w:spacing w:after="20"/>
              <w:ind w:left="20"/>
              <w:jc w:val="both"/>
            </w:pPr>
            <w:r>
              <w:rPr>
                <w:rFonts w:ascii="Times New Roman"/>
                <w:b w:val="false"/>
                <w:i w:val="false"/>
                <w:color w:val="000000"/>
                <w:sz w:val="20"/>
              </w:rPr>
              <w:t>
2) контроль геометрических параметров участков трубопровода протяженностью менее 1 000 м приборно-инструментальными методами;</w:t>
            </w:r>
          </w:p>
          <w:p>
            <w:pPr>
              <w:spacing w:after="20"/>
              <w:ind w:left="20"/>
              <w:jc w:val="both"/>
            </w:pPr>
            <w:r>
              <w:rPr>
                <w:rFonts w:ascii="Times New Roman"/>
                <w:b w:val="false"/>
                <w:i w:val="false"/>
                <w:color w:val="000000"/>
                <w:sz w:val="20"/>
              </w:rPr>
              <w:t>
3) внутритрубное диагностирование:</w:t>
            </w:r>
          </w:p>
          <w:p>
            <w:pPr>
              <w:spacing w:after="20"/>
              <w:ind w:left="20"/>
              <w:jc w:val="both"/>
            </w:pPr>
            <w:r>
              <w:rPr>
                <w:rFonts w:ascii="Times New Roman"/>
                <w:b w:val="false"/>
                <w:i w:val="false"/>
                <w:color w:val="000000"/>
                <w:sz w:val="20"/>
              </w:rPr>
              <w:t>
участков трубопровода протяженностью 10 000 м и более;</w:t>
            </w:r>
          </w:p>
          <w:p>
            <w:pPr>
              <w:spacing w:after="20"/>
              <w:ind w:left="20"/>
              <w:jc w:val="both"/>
            </w:pPr>
            <w:r>
              <w:rPr>
                <w:rFonts w:ascii="Times New Roman"/>
                <w:b w:val="false"/>
                <w:i w:val="false"/>
                <w:color w:val="000000"/>
                <w:sz w:val="20"/>
              </w:rPr>
              <w:t>
участков трубопровода протяженностью менее 10 000 м при условии обоснования необходимости его проведения в проектной документации;</w:t>
            </w:r>
          </w:p>
          <w:p>
            <w:pPr>
              <w:spacing w:after="20"/>
              <w:ind w:left="20"/>
              <w:jc w:val="both"/>
            </w:pPr>
            <w:r>
              <w:rPr>
                <w:rFonts w:ascii="Times New Roman"/>
                <w:b w:val="false"/>
                <w:i w:val="false"/>
                <w:color w:val="000000"/>
                <w:sz w:val="20"/>
              </w:rPr>
              <w:t>
4) внутритрубное диагностирование участков подводных переходов, проложенных через реку или водоем шириной в межень по зеркалу воды более 10 м и глубиной свыше 1,5 м либо шириной по зеркалу воды в межень 25 м и более независимо от глубины;</w:t>
            </w:r>
          </w:p>
          <w:p>
            <w:pPr>
              <w:spacing w:after="20"/>
              <w:ind w:left="20"/>
              <w:jc w:val="both"/>
            </w:pPr>
            <w:r>
              <w:rPr>
                <w:rFonts w:ascii="Times New Roman"/>
                <w:b w:val="false"/>
                <w:i w:val="false"/>
                <w:color w:val="000000"/>
                <w:sz w:val="20"/>
              </w:rPr>
              <w:t>
5) контроль состояния изоляционного покрытия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сопровождению выпускаемых в обращение на рынки сбыта углей и продуктов их переработки удостоверением (паспортом) качества содержащим следующую информацию:</w:t>
            </w:r>
          </w:p>
          <w:p>
            <w:pPr>
              <w:spacing w:after="20"/>
              <w:ind w:left="20"/>
              <w:jc w:val="both"/>
            </w:pPr>
            <w:r>
              <w:rPr>
                <w:rFonts w:ascii="Times New Roman"/>
                <w:b w:val="false"/>
                <w:i w:val="false"/>
                <w:color w:val="000000"/>
                <w:sz w:val="20"/>
              </w:rPr>
              <w:t>
1) наименование продукции и вид потребления;</w:t>
            </w:r>
          </w:p>
          <w:p>
            <w:pPr>
              <w:spacing w:after="20"/>
              <w:ind w:left="20"/>
              <w:jc w:val="both"/>
            </w:pPr>
            <w:r>
              <w:rPr>
                <w:rFonts w:ascii="Times New Roman"/>
                <w:b w:val="false"/>
                <w:i w:val="false"/>
                <w:color w:val="000000"/>
                <w:sz w:val="20"/>
              </w:rPr>
              <w:t>
2) страна и место изготовления продукции;</w:t>
            </w:r>
          </w:p>
          <w:p>
            <w:pPr>
              <w:spacing w:after="20"/>
              <w:ind w:left="20"/>
              <w:jc w:val="both"/>
            </w:pPr>
            <w:r>
              <w:rPr>
                <w:rFonts w:ascii="Times New Roman"/>
                <w:b w:val="false"/>
                <w:i w:val="false"/>
                <w:color w:val="000000"/>
                <w:sz w:val="20"/>
              </w:rPr>
              <w:t>
3) наименование и юридический адрес изготовителя (поставщика);</w:t>
            </w:r>
          </w:p>
          <w:p>
            <w:pPr>
              <w:spacing w:after="20"/>
              <w:ind w:left="20"/>
              <w:jc w:val="both"/>
            </w:pPr>
            <w:r>
              <w:rPr>
                <w:rFonts w:ascii="Times New Roman"/>
                <w:b w:val="false"/>
                <w:i w:val="false"/>
                <w:color w:val="000000"/>
                <w:sz w:val="20"/>
              </w:rPr>
              <w:t>
4) наименование и обозначение нормативного документа на продукцию;</w:t>
            </w:r>
          </w:p>
          <w:p>
            <w:pPr>
              <w:spacing w:after="20"/>
              <w:ind w:left="20"/>
              <w:jc w:val="both"/>
            </w:pPr>
            <w:r>
              <w:rPr>
                <w:rFonts w:ascii="Times New Roman"/>
                <w:b w:val="false"/>
                <w:i w:val="false"/>
                <w:color w:val="000000"/>
                <w:sz w:val="20"/>
              </w:rPr>
              <w:t>
5) номер партии;</w:t>
            </w:r>
          </w:p>
          <w:p>
            <w:pPr>
              <w:spacing w:after="20"/>
              <w:ind w:left="20"/>
              <w:jc w:val="both"/>
            </w:pPr>
            <w:r>
              <w:rPr>
                <w:rFonts w:ascii="Times New Roman"/>
                <w:b w:val="false"/>
                <w:i w:val="false"/>
                <w:color w:val="000000"/>
                <w:sz w:val="20"/>
              </w:rPr>
              <w:t>
6) масса (брутто);</w:t>
            </w:r>
          </w:p>
          <w:p>
            <w:pPr>
              <w:spacing w:after="20"/>
              <w:ind w:left="20"/>
              <w:jc w:val="both"/>
            </w:pPr>
            <w:r>
              <w:rPr>
                <w:rFonts w:ascii="Times New Roman"/>
                <w:b w:val="false"/>
                <w:i w:val="false"/>
                <w:color w:val="000000"/>
                <w:sz w:val="20"/>
              </w:rPr>
              <w:t>
7) дата изготовления продукции;</w:t>
            </w:r>
          </w:p>
          <w:p>
            <w:pPr>
              <w:spacing w:after="20"/>
              <w:ind w:left="20"/>
              <w:jc w:val="both"/>
            </w:pPr>
            <w:r>
              <w:rPr>
                <w:rFonts w:ascii="Times New Roman"/>
                <w:b w:val="false"/>
                <w:i w:val="false"/>
                <w:color w:val="000000"/>
                <w:sz w:val="20"/>
              </w:rPr>
              <w:t>
8) срок хранения;</w:t>
            </w:r>
          </w:p>
          <w:p>
            <w:pPr>
              <w:spacing w:after="20"/>
              <w:ind w:left="20"/>
              <w:jc w:val="both"/>
            </w:pPr>
            <w:r>
              <w:rPr>
                <w:rFonts w:ascii="Times New Roman"/>
                <w:b w:val="false"/>
                <w:i w:val="false"/>
                <w:color w:val="000000"/>
                <w:sz w:val="20"/>
              </w:rPr>
              <w:t>
9) коды ТН ВЭД ТС и Классификатор продукции по видам экономической деятельности (КП ВЭД);</w:t>
            </w:r>
          </w:p>
          <w:p>
            <w:pPr>
              <w:spacing w:after="20"/>
              <w:ind w:left="20"/>
              <w:jc w:val="both"/>
            </w:pPr>
            <w:r>
              <w:rPr>
                <w:rFonts w:ascii="Times New Roman"/>
                <w:b w:val="false"/>
                <w:i w:val="false"/>
                <w:color w:val="000000"/>
                <w:sz w:val="20"/>
              </w:rPr>
              <w:t>
10) технологическая марка (группа, подгруппа);</w:t>
            </w:r>
          </w:p>
          <w:p>
            <w:pPr>
              <w:spacing w:after="20"/>
              <w:ind w:left="20"/>
              <w:jc w:val="both"/>
            </w:pPr>
            <w:r>
              <w:rPr>
                <w:rFonts w:ascii="Times New Roman"/>
                <w:b w:val="false"/>
                <w:i w:val="false"/>
                <w:color w:val="000000"/>
                <w:sz w:val="20"/>
              </w:rPr>
              <w:t>
11) ранг (категория, подкатегория);</w:t>
            </w:r>
          </w:p>
          <w:p>
            <w:pPr>
              <w:spacing w:after="20"/>
              <w:ind w:left="20"/>
              <w:jc w:val="both"/>
            </w:pPr>
            <w:r>
              <w:rPr>
                <w:rFonts w:ascii="Times New Roman"/>
                <w:b w:val="false"/>
                <w:i w:val="false"/>
                <w:color w:val="000000"/>
                <w:sz w:val="20"/>
              </w:rPr>
              <w:t>
12) размер кусков;</w:t>
            </w:r>
          </w:p>
          <w:p>
            <w:pPr>
              <w:spacing w:after="20"/>
              <w:ind w:left="20"/>
              <w:jc w:val="both"/>
            </w:pPr>
            <w:r>
              <w:rPr>
                <w:rFonts w:ascii="Times New Roman"/>
                <w:b w:val="false"/>
                <w:i w:val="false"/>
                <w:color w:val="000000"/>
                <w:sz w:val="20"/>
              </w:rPr>
              <w:t>
13) кодовое число;</w:t>
            </w:r>
          </w:p>
          <w:p>
            <w:pPr>
              <w:spacing w:after="20"/>
              <w:ind w:left="20"/>
              <w:jc w:val="both"/>
            </w:pPr>
            <w:r>
              <w:rPr>
                <w:rFonts w:ascii="Times New Roman"/>
                <w:b w:val="false"/>
                <w:i w:val="false"/>
                <w:color w:val="000000"/>
                <w:sz w:val="20"/>
              </w:rPr>
              <w:t>
14) сведения о документе подтверждения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показателей, характеризующих безопасность углей и продуктов их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углей и продуктов их переработки нормам радиационной опасности твердого топлива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нормам радиационной опасности золы твердого топлива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1 классу радиационной опасности. Сумма отношений удельной активности природных радионуклидов к минимально значимой удельной активности не превышать единицы. Угли и продукты их переработки, имеющие сумму отношений удельной активности природных радионуклидов к минимально значимой удельной активности более единицы, не могут использоваться в хозяйственной деятельности.</w:t>
            </w:r>
          </w:p>
          <w:p>
            <w:pPr>
              <w:spacing w:after="20"/>
              <w:ind w:left="20"/>
              <w:jc w:val="both"/>
            </w:pPr>
            <w:r>
              <w:rPr>
                <w:rFonts w:ascii="Times New Roman"/>
                <w:b w:val="false"/>
                <w:i w:val="false"/>
                <w:color w:val="000000"/>
                <w:sz w:val="20"/>
              </w:rPr>
              <w:t>
Зола углей и продуктов их переработки может использоваться в различных направлениях в зависимости от эффективной удельной активности природных радионуклидов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показателям температуры воспламенения и температуры самовоспламенения, характеризующим горючесть и пожаровзрывоопасность углей и продуктов их переработки.</w:t>
            </w:r>
          </w:p>
          <w:p>
            <w:pPr>
              <w:spacing w:after="20"/>
              <w:ind w:left="20"/>
              <w:jc w:val="both"/>
            </w:pPr>
            <w:r>
              <w:rPr>
                <w:rFonts w:ascii="Times New Roman"/>
                <w:b w:val="false"/>
                <w:i w:val="false"/>
                <w:color w:val="000000"/>
                <w:sz w:val="20"/>
              </w:rPr>
              <w:t xml:space="preserve">
Температура воспламенения углей и продуктов их переработки не менее 120 </w:t>
            </w:r>
            <w:r>
              <w:rPr>
                <w:rFonts w:ascii="Times New Roman"/>
                <w:b w:val="false"/>
                <w:i w:val="false"/>
                <w:color w:val="000000"/>
                <w:vertAlign w:val="superscript"/>
              </w:rPr>
              <w:t>о</w:t>
            </w:r>
            <w:r>
              <w:rPr>
                <w:rFonts w:ascii="Times New Roman"/>
                <w:b w:val="false"/>
                <w:i w:val="false"/>
                <w:color w:val="000000"/>
                <w:sz w:val="20"/>
              </w:rPr>
              <w:t>С.</w:t>
            </w:r>
          </w:p>
          <w:p>
            <w:pPr>
              <w:spacing w:after="20"/>
              <w:ind w:left="20"/>
              <w:jc w:val="both"/>
            </w:pPr>
            <w:r>
              <w:rPr>
                <w:rFonts w:ascii="Times New Roman"/>
                <w:b w:val="false"/>
                <w:i w:val="false"/>
                <w:color w:val="000000"/>
                <w:sz w:val="20"/>
              </w:rPr>
              <w:t xml:space="preserve">
Температура самовоспламенения углей и продуктов их переработки не менее 50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классификации углей и продуктов их переработки по склонности к окислению и самовозгоранию и предельным срокам их хранения группе углей по склонности к окислению и самовозгоранию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углей и продуктов их переработки показателям взрывоопасности пылевоздушных смесей в зависимости от влажности смеси, крупности пыли, доступа воздуха в слой топлива, температуры окружающей среды и топлива, его природных свойств.</w:t>
            </w:r>
          </w:p>
          <w:p>
            <w:pPr>
              <w:spacing w:after="20"/>
              <w:ind w:left="20"/>
              <w:jc w:val="both"/>
            </w:pPr>
            <w:r>
              <w:rPr>
                <w:rFonts w:ascii="Times New Roman"/>
                <w:b w:val="false"/>
                <w:i w:val="false"/>
                <w:color w:val="000000"/>
                <w:sz w:val="20"/>
              </w:rPr>
              <w:t>
Наиболее взрывоопасной является пылевоздушная смесь с содержанием угольных частиц размером менее 0,2 мм.</w:t>
            </w:r>
          </w:p>
          <w:p>
            <w:pPr>
              <w:spacing w:after="20"/>
              <w:ind w:left="20"/>
              <w:jc w:val="both"/>
            </w:pPr>
            <w:r>
              <w:rPr>
                <w:rFonts w:ascii="Times New Roman"/>
                <w:b w:val="false"/>
                <w:i w:val="false"/>
                <w:color w:val="000000"/>
                <w:sz w:val="20"/>
              </w:rPr>
              <w:t>
Исходными данными для расчета критерия взрываемости пыли являются:</w:t>
            </w:r>
          </w:p>
          <w:p>
            <w:pPr>
              <w:spacing w:after="20"/>
              <w:ind w:left="20"/>
              <w:jc w:val="both"/>
            </w:pPr>
            <w:r>
              <w:rPr>
                <w:rFonts w:ascii="Times New Roman"/>
                <w:b w:val="false"/>
                <w:i w:val="false"/>
                <w:color w:val="000000"/>
                <w:sz w:val="20"/>
              </w:rPr>
              <w:t>
1) ситовый анализ угля и пыли;</w:t>
            </w:r>
          </w:p>
          <w:p>
            <w:pPr>
              <w:spacing w:after="20"/>
              <w:ind w:left="20"/>
              <w:jc w:val="both"/>
            </w:pPr>
            <w:r>
              <w:rPr>
                <w:rFonts w:ascii="Times New Roman"/>
                <w:b w:val="false"/>
                <w:i w:val="false"/>
                <w:color w:val="000000"/>
                <w:sz w:val="20"/>
              </w:rPr>
              <w:t>
2) технический анализ;</w:t>
            </w:r>
          </w:p>
          <w:p>
            <w:pPr>
              <w:spacing w:after="20"/>
              <w:ind w:left="20"/>
              <w:jc w:val="both"/>
            </w:pPr>
            <w:r>
              <w:rPr>
                <w:rFonts w:ascii="Times New Roman"/>
                <w:b w:val="false"/>
                <w:i w:val="false"/>
                <w:color w:val="000000"/>
                <w:sz w:val="20"/>
              </w:rPr>
              <w:t>
3) элементный анализ;</w:t>
            </w:r>
          </w:p>
          <w:p>
            <w:pPr>
              <w:spacing w:after="20"/>
              <w:ind w:left="20"/>
              <w:jc w:val="both"/>
            </w:pPr>
            <w:r>
              <w:rPr>
                <w:rFonts w:ascii="Times New Roman"/>
                <w:b w:val="false"/>
                <w:i w:val="false"/>
                <w:color w:val="000000"/>
                <w:sz w:val="20"/>
              </w:rPr>
              <w:t>
4) теплота сгорания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качества углей и продуктов их переработки безопасности перевозимых грузов. </w:t>
            </w:r>
          </w:p>
          <w:p>
            <w:pPr>
              <w:spacing w:after="20"/>
              <w:ind w:left="20"/>
              <w:jc w:val="both"/>
            </w:pPr>
            <w:r>
              <w:rPr>
                <w:rFonts w:ascii="Times New Roman"/>
                <w:b w:val="false"/>
                <w:i w:val="false"/>
                <w:color w:val="000000"/>
                <w:sz w:val="20"/>
              </w:rPr>
              <w:t>
Показателями, характеризующими безопасность грузов с углями и продуктами их переработки, являются:</w:t>
            </w:r>
          </w:p>
          <w:p>
            <w:pPr>
              <w:spacing w:after="20"/>
              <w:ind w:left="20"/>
              <w:jc w:val="both"/>
            </w:pPr>
            <w:r>
              <w:rPr>
                <w:rFonts w:ascii="Times New Roman"/>
                <w:b w:val="false"/>
                <w:i w:val="false"/>
                <w:color w:val="000000"/>
                <w:sz w:val="20"/>
              </w:rPr>
              <w:t>
1) срок хранения;</w:t>
            </w:r>
          </w:p>
          <w:p>
            <w:pPr>
              <w:spacing w:after="20"/>
              <w:ind w:left="20"/>
              <w:jc w:val="both"/>
            </w:pPr>
            <w:r>
              <w:rPr>
                <w:rFonts w:ascii="Times New Roman"/>
                <w:b w:val="false"/>
                <w:i w:val="false"/>
                <w:color w:val="000000"/>
                <w:sz w:val="20"/>
              </w:rPr>
              <w:t>
2) температура воспламенения;</w:t>
            </w:r>
          </w:p>
          <w:p>
            <w:pPr>
              <w:spacing w:after="20"/>
              <w:ind w:left="20"/>
              <w:jc w:val="both"/>
            </w:pPr>
            <w:r>
              <w:rPr>
                <w:rFonts w:ascii="Times New Roman"/>
                <w:b w:val="false"/>
                <w:i w:val="false"/>
                <w:color w:val="000000"/>
                <w:sz w:val="20"/>
              </w:rPr>
              <w:t>
3) температура самовоспламенения;</w:t>
            </w:r>
          </w:p>
          <w:p>
            <w:pPr>
              <w:spacing w:after="20"/>
              <w:ind w:left="20"/>
              <w:jc w:val="both"/>
            </w:pPr>
            <w:r>
              <w:rPr>
                <w:rFonts w:ascii="Times New Roman"/>
                <w:b w:val="false"/>
                <w:i w:val="false"/>
                <w:color w:val="000000"/>
                <w:sz w:val="20"/>
              </w:rPr>
              <w:t>
4) группа взрывоопасности.</w:t>
            </w:r>
          </w:p>
          <w:p>
            <w:pPr>
              <w:spacing w:after="20"/>
              <w:ind w:left="20"/>
              <w:jc w:val="both"/>
            </w:pPr>
            <w:r>
              <w:rPr>
                <w:rFonts w:ascii="Times New Roman"/>
                <w:b w:val="false"/>
                <w:i w:val="false"/>
                <w:color w:val="000000"/>
                <w:sz w:val="20"/>
              </w:rPr>
              <w:t>
Значения приведенных показателей соответствовать требованиям группы углей по склонности к окислению и самовозгоранию и группам взрывоопасности пыли углей и продуктов их переработки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углей и продуктов их переработки на специально оборудованных складах и сухих площадках, не подверженных обводнению, с соблюдением мер, исключающих возникновение пожаров и взрывов, загрязнение и заражение окружающей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складов и площадок для хранения самовозгораемых углей на расстоянии от сгораемых строений не менее 8 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размещению складского хозяйства и организации транспортных операций продукции углей и продуктов их переработки, обеспечивающей механизированную подачу, разгрузку и погрузку с применением способов и устройств, предотвращающих загрязнение, воздушного бассейна и промплощадки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безопасного хранения выгруженных углей в бесформенных кучах и навалом сроком не более 2 суток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предприятием контроля температурного состояния штабеля, в период длительного хранения углей. Частота измерения температуры зависит от склонности угля к самовозгоранию.</w:t>
            </w:r>
          </w:p>
          <w:p>
            <w:pPr>
              <w:spacing w:after="20"/>
              <w:ind w:left="20"/>
              <w:jc w:val="both"/>
            </w:pPr>
            <w:r>
              <w:rPr>
                <w:rFonts w:ascii="Times New Roman"/>
                <w:b w:val="false"/>
                <w:i w:val="false"/>
                <w:color w:val="000000"/>
                <w:sz w:val="20"/>
              </w:rPr>
              <w:t xml:space="preserve">
При нагревании угля в штабеле выше критической температуры более 2 </w:t>
            </w:r>
            <w:r>
              <w:rPr>
                <w:rFonts w:ascii="Times New Roman"/>
                <w:b w:val="false"/>
                <w:i w:val="false"/>
                <w:color w:val="000000"/>
                <w:vertAlign w:val="superscript"/>
              </w:rPr>
              <w:t>о</w:t>
            </w:r>
            <w:r>
              <w:rPr>
                <w:rFonts w:ascii="Times New Roman"/>
                <w:b w:val="false"/>
                <w:i w:val="false"/>
                <w:color w:val="000000"/>
                <w:sz w:val="20"/>
              </w:rPr>
              <w:t>С принятие мер для ликвидации очагов самовозгорания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мер по уменьшению измельчения угля и предотвращению его распыления при подаче угля на склад, укладке в штабель и обратной подаче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предупреждения нагревания и самовозгорания угля в штабеле при длительном хранении, выполняют следующее:</w:t>
            </w:r>
          </w:p>
          <w:p>
            <w:pPr>
              <w:spacing w:after="20"/>
              <w:ind w:left="20"/>
              <w:jc w:val="both"/>
            </w:pPr>
            <w:r>
              <w:rPr>
                <w:rFonts w:ascii="Times New Roman"/>
                <w:b w:val="false"/>
                <w:i w:val="false"/>
                <w:color w:val="000000"/>
                <w:sz w:val="20"/>
              </w:rPr>
              <w:t>
1) периодическую замену старого угля из штабеля углем свежей добычи с предварительной полной отгрузкой старого угля потребителям из освежаемой части штабеля;</w:t>
            </w:r>
          </w:p>
          <w:p>
            <w:pPr>
              <w:spacing w:after="20"/>
              <w:ind w:left="20"/>
              <w:jc w:val="both"/>
            </w:pPr>
            <w:r>
              <w:rPr>
                <w:rFonts w:ascii="Times New Roman"/>
                <w:b w:val="false"/>
                <w:i w:val="false"/>
                <w:color w:val="000000"/>
                <w:sz w:val="20"/>
              </w:rPr>
              <w:t>
2) осуществление замедления окислительных процессов в склонных к окислению и самовозгоранию углях и связанного с этим выделения вредных газов путем внесения в них ингибиторов-антиокислителей в виде растворов, водных эмульсий, суспензий или сухих реагентов при послойном формировании штабеля с последующим послойным и поверхностным уплотнением угля;</w:t>
            </w:r>
          </w:p>
          <w:p>
            <w:pPr>
              <w:spacing w:after="20"/>
              <w:ind w:left="20"/>
              <w:jc w:val="both"/>
            </w:pPr>
            <w:r>
              <w:rPr>
                <w:rFonts w:ascii="Times New Roman"/>
                <w:b w:val="false"/>
                <w:i w:val="false"/>
                <w:color w:val="000000"/>
                <w:sz w:val="20"/>
              </w:rPr>
              <w:t>
равномерное смачивание угля при его закладке в штабель водной суспензией гашеной извести концентрации не более 3 %. Зольность при этом возрастает не более чем на 0,06 %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отгрузка из штабеля нагретого угля в железнодорожные вагоны и транспортные средства при обнаружении появившихся в штабелях угля очагов самонагревания угля с температурой более 35 </w:t>
            </w:r>
            <w:r>
              <w:rPr>
                <w:rFonts w:ascii="Times New Roman"/>
                <w:b w:val="false"/>
                <w:i w:val="false"/>
                <w:color w:val="000000"/>
                <w:vertAlign w:val="superscript"/>
              </w:rPr>
              <w:t>о</w:t>
            </w:r>
            <w:r>
              <w:rPr>
                <w:rFonts w:ascii="Times New Roman"/>
                <w:b w:val="false"/>
                <w:i w:val="false"/>
                <w:color w:val="000000"/>
                <w:sz w:val="20"/>
              </w:rPr>
              <w:t>С. При невозможности такой отгрузки производится дополнительное уплотнение угля в районе очагов нагрева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удаление из штабеля всего нагретого угля, складируя его на свободном месте в отдельные штабеля высотой не более 1,5 м, когда температура угля продолжает увеличиваться и достигает 50 </w:t>
            </w:r>
            <w:r>
              <w:rPr>
                <w:rFonts w:ascii="Times New Roman"/>
                <w:b w:val="false"/>
                <w:i w:val="false"/>
                <w:color w:val="000000"/>
                <w:vertAlign w:val="superscript"/>
              </w:rPr>
              <w:t>о</w:t>
            </w:r>
            <w:r>
              <w:rPr>
                <w:rFonts w:ascii="Times New Roman"/>
                <w:b w:val="false"/>
                <w:i w:val="false"/>
                <w:color w:val="000000"/>
                <w:sz w:val="20"/>
              </w:rPr>
              <w:t>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проведение ежемесячного контроля метана при использовании укрытых складов для углей, опасных по газу, в подземной части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продукции углей и продуктов их переработки, в соответствии с которым в целях обнаружения возможных очагов самовозгорания пород и своевременного принятия мер по предупреждению самовозгорания предприятием производится контроль теплового состояния отвалов.</w:t>
            </w:r>
          </w:p>
          <w:p>
            <w:pPr>
              <w:spacing w:after="20"/>
              <w:ind w:left="20"/>
              <w:jc w:val="both"/>
            </w:pPr>
            <w:r>
              <w:rPr>
                <w:rFonts w:ascii="Times New Roman"/>
                <w:b w:val="false"/>
                <w:i w:val="false"/>
                <w:color w:val="000000"/>
                <w:sz w:val="20"/>
              </w:rPr>
              <w:t>
Замеры температур проводятся на глубине не менее 0,5 м от поверхности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соответствие продукции углей и продуктов их переработки порядку транспортирования, при котором агломерированное топливо транспортируется в охлажденном виде (не более 45 </w:t>
            </w:r>
            <w:r>
              <w:rPr>
                <w:rFonts w:ascii="Times New Roman"/>
                <w:b w:val="false"/>
                <w:i w:val="false"/>
                <w:color w:val="000000"/>
                <w:vertAlign w:val="superscript"/>
              </w:rPr>
              <w:t>о</w:t>
            </w:r>
            <w:r>
              <w:rPr>
                <w:rFonts w:ascii="Times New Roman"/>
                <w:b w:val="false"/>
                <w:i w:val="false"/>
                <w:color w:val="000000"/>
                <w:sz w:val="20"/>
              </w:rPr>
              <w:t>С), незамороженным, легко отделяется друг от друга, не рассыпается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перед погрузкой углей в полувагоны с нижними разгрузочными люками по уплотнению имеющихся зазоров, в том числе и конструктивных, через которые при перевозках возможно просыпание углей классов менее 13 мм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безопасная перевозка продукции углей и продуктов их переработки различными видами транспорта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строительных объектов и строительной продукции на рынке, если имеется подтвержденная информация от изыскателя, проектировщика, изготовителя (поставщика, продавца) или уполномоченного представителя, собственников строительного объекта и независимых экспертов, организаций, осуществляющих авторский и (или) технический надзор, государственных органов, уполномоченных осуществлять государственный контроль и надзор, о несоответствии продукции требованиям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реализации строительной продукции в соответствии нижеследующему:</w:t>
            </w:r>
          </w:p>
          <w:p>
            <w:pPr>
              <w:spacing w:after="20"/>
              <w:ind w:left="20"/>
              <w:jc w:val="both"/>
            </w:pPr>
            <w:r>
              <w:rPr>
                <w:rFonts w:ascii="Times New Roman"/>
                <w:b w:val="false"/>
                <w:i w:val="false"/>
                <w:color w:val="000000"/>
                <w:sz w:val="20"/>
              </w:rPr>
              <w:t>
1)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 необходимой для оценки возможных рисков причинения вреда и принятия ими соответствующих мер безопасности;</w:t>
            </w:r>
          </w:p>
          <w:p>
            <w:pPr>
              <w:spacing w:after="20"/>
              <w:ind w:left="20"/>
              <w:jc w:val="both"/>
            </w:pPr>
            <w:r>
              <w:rPr>
                <w:rFonts w:ascii="Times New Roman"/>
                <w:b w:val="false"/>
                <w:i w:val="false"/>
                <w:color w:val="000000"/>
                <w:sz w:val="20"/>
              </w:rPr>
              <w:t>
2) инструкцией по информированию соответствующих органов государственного контроля и надзора при выявлении после реализации строительных материалов, изделий и конструкций их потенциальной опасности с целью принятия ими мер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реализуемых строительных материалов и изделий для бытовых нужд граждан следующим требованиям:</w:t>
            </w:r>
          </w:p>
          <w:p>
            <w:pPr>
              <w:spacing w:after="20"/>
              <w:ind w:left="20"/>
              <w:jc w:val="both"/>
            </w:pPr>
            <w:r>
              <w:rPr>
                <w:rFonts w:ascii="Times New Roman"/>
                <w:b w:val="false"/>
                <w:i w:val="false"/>
                <w:color w:val="000000"/>
                <w:sz w:val="20"/>
              </w:rPr>
              <w:t>
1) безопасные, с неистекшими сроками их хранения или годности, ненарушенной тарой и упаковкой (в соответствии с требованиями нормативных документов), полным комплектом эксплуатационной документации. Не допускаются к реализации (продаже), если имеется информация от изготовителя, потребителя или органов государственного контроля и надзора о несоответствии конкретных материалов и изделий установленным требованиям безопасности;</w:t>
            </w:r>
          </w:p>
          <w:p>
            <w:pPr>
              <w:spacing w:after="20"/>
              <w:ind w:left="20"/>
              <w:jc w:val="both"/>
            </w:pPr>
            <w:r>
              <w:rPr>
                <w:rFonts w:ascii="Times New Roman"/>
                <w:b w:val="false"/>
                <w:i w:val="false"/>
                <w:color w:val="000000"/>
                <w:sz w:val="20"/>
              </w:rPr>
              <w:t>
2) обеспечиваться инструкцией для потребителей о правилах безопасного использования строительных материалов и изделий по их применению;</w:t>
            </w:r>
          </w:p>
          <w:p>
            <w:pPr>
              <w:spacing w:after="20"/>
              <w:ind w:left="20"/>
              <w:jc w:val="both"/>
            </w:pPr>
            <w:r>
              <w:rPr>
                <w:rFonts w:ascii="Times New Roman"/>
                <w:b w:val="false"/>
                <w:i w:val="false"/>
                <w:color w:val="000000"/>
                <w:sz w:val="20"/>
              </w:rPr>
              <w:t>
3) обеспечиваться информацией для продавцов о порядке действий при их реализации, о регистрации жалоб потребителей с целью дальнейшей проверки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на период с момента ввода строительного объекта в эксплуатацию и до наступления этапа его постутилизации обращение строительного объекта на рынке допускается только при наличии технического паспорта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обращения и реализации на рынке строительных объектов и строительной продукции, а также ввод в эксплуатацию строительных объектов, подлежащих обязательному подтверждению соответствия, без прохождения процедур подтверждения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ответственным пользователям строительного объекта следует:</w:t>
            </w:r>
          </w:p>
          <w:p>
            <w:pPr>
              <w:spacing w:after="20"/>
              <w:ind w:left="20"/>
              <w:jc w:val="both"/>
            </w:pPr>
            <w:r>
              <w:rPr>
                <w:rFonts w:ascii="Times New Roman"/>
                <w:b w:val="false"/>
                <w:i w:val="false"/>
                <w:color w:val="000000"/>
                <w:sz w:val="20"/>
              </w:rPr>
              <w:t>
1) эксплуатировать строительный объект, прошедший процедуру оценки соответствия;</w:t>
            </w:r>
          </w:p>
          <w:p>
            <w:pPr>
              <w:spacing w:after="20"/>
              <w:ind w:left="20"/>
              <w:jc w:val="both"/>
            </w:pPr>
            <w:r>
              <w:rPr>
                <w:rFonts w:ascii="Times New Roman"/>
                <w:b w:val="false"/>
                <w:i w:val="false"/>
                <w:color w:val="000000"/>
                <w:sz w:val="20"/>
              </w:rPr>
              <w:t>
2) проводить инструктаж всех пользователей по правилам безопасной эксплуатации строительного объекта;</w:t>
            </w:r>
          </w:p>
          <w:p>
            <w:pPr>
              <w:spacing w:after="20"/>
              <w:ind w:left="20"/>
              <w:jc w:val="both"/>
            </w:pPr>
            <w:r>
              <w:rPr>
                <w:rFonts w:ascii="Times New Roman"/>
                <w:b w:val="false"/>
                <w:i w:val="false"/>
                <w:color w:val="000000"/>
                <w:sz w:val="20"/>
              </w:rPr>
              <w:t>
3) не допускать эксплуатацию строительных объектов без наличия сопроводительной документацией для потребителя (инструкции по использованию, паспорт качества, сертификат соответствия, декларация о соответствии, техническая или нормативная документация;</w:t>
            </w:r>
          </w:p>
          <w:p>
            <w:pPr>
              <w:spacing w:after="20"/>
              <w:ind w:left="20"/>
              <w:jc w:val="both"/>
            </w:pPr>
            <w:r>
              <w:rPr>
                <w:rFonts w:ascii="Times New Roman"/>
                <w:b w:val="false"/>
                <w:i w:val="false"/>
                <w:color w:val="000000"/>
                <w:sz w:val="20"/>
              </w:rPr>
              <w:t>
4) информировать органы государственного контроля и надзора, а также всех пользователей и собственников строительного объекта об особенностях эксплуатации строительного объекта, требующих специальных знаний (навыков);</w:t>
            </w:r>
          </w:p>
          <w:p>
            <w:pPr>
              <w:spacing w:after="20"/>
              <w:ind w:left="20"/>
              <w:jc w:val="both"/>
            </w:pPr>
            <w:r>
              <w:rPr>
                <w:rFonts w:ascii="Times New Roman"/>
                <w:b w:val="false"/>
                <w:i w:val="false"/>
                <w:color w:val="000000"/>
                <w:sz w:val="20"/>
              </w:rPr>
              <w:t>
5) обеспечивать проведение своевременных мероприятий по предупреждению всех пользователей и собственников строительных объектов при наступлении опасности, а также необходимых мероприятий вплоть до запрета эксплуатации при поступлении информации об аварии;</w:t>
            </w:r>
          </w:p>
          <w:p>
            <w:pPr>
              <w:spacing w:after="20"/>
              <w:ind w:left="20"/>
              <w:jc w:val="both"/>
            </w:pPr>
            <w:r>
              <w:rPr>
                <w:rFonts w:ascii="Times New Roman"/>
                <w:b w:val="false"/>
                <w:i w:val="false"/>
                <w:color w:val="000000"/>
                <w:sz w:val="20"/>
              </w:rPr>
              <w:t>
6) при необходимости аварийного вывода строительного объекта из эксплуатации принимать необходимые для этого меры и безотлагательно информировать соответствующие органы государственного контроля и надзора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создание строительного объекта организовано (запроектировано и построено с использованием строительной продукции) таким образом, чтобы в течение всего жизненного цикла строительного объекта (за исключением этапа постутилизации) обеспечивалось соблюдение следующих существенных требований к безопасности:</w:t>
            </w:r>
          </w:p>
          <w:p>
            <w:pPr>
              <w:spacing w:after="20"/>
              <w:ind w:left="20"/>
              <w:jc w:val="both"/>
            </w:pPr>
            <w:r>
              <w:rPr>
                <w:rFonts w:ascii="Times New Roman"/>
                <w:b w:val="false"/>
                <w:i w:val="false"/>
                <w:color w:val="000000"/>
                <w:sz w:val="20"/>
              </w:rPr>
              <w:t>
1) механическая прочность и устойчивость;</w:t>
            </w:r>
          </w:p>
          <w:p>
            <w:pPr>
              <w:spacing w:after="20"/>
              <w:ind w:left="20"/>
              <w:jc w:val="both"/>
            </w:pPr>
            <w:r>
              <w:rPr>
                <w:rFonts w:ascii="Times New Roman"/>
                <w:b w:val="false"/>
                <w:i w:val="false"/>
                <w:color w:val="000000"/>
                <w:sz w:val="20"/>
              </w:rPr>
              <w:t>
2) пожарная безопасность;</w:t>
            </w:r>
          </w:p>
          <w:p>
            <w:pPr>
              <w:spacing w:after="20"/>
              <w:ind w:left="20"/>
              <w:jc w:val="both"/>
            </w:pPr>
            <w:r>
              <w:rPr>
                <w:rFonts w:ascii="Times New Roman"/>
                <w:b w:val="false"/>
                <w:i w:val="false"/>
                <w:color w:val="000000"/>
                <w:sz w:val="20"/>
              </w:rPr>
              <w:t>
3) безопасность для здоровья (людей и животных) и окружающей среды;</w:t>
            </w:r>
          </w:p>
          <w:p>
            <w:pPr>
              <w:spacing w:after="20"/>
              <w:ind w:left="20"/>
              <w:jc w:val="both"/>
            </w:pPr>
            <w:r>
              <w:rPr>
                <w:rFonts w:ascii="Times New Roman"/>
                <w:b w:val="false"/>
                <w:i w:val="false"/>
                <w:color w:val="000000"/>
                <w:sz w:val="20"/>
              </w:rPr>
              <w:t>
4) безопасность в процессе эксплуатации (использования);</w:t>
            </w:r>
          </w:p>
          <w:p>
            <w:pPr>
              <w:spacing w:after="20"/>
              <w:ind w:left="20"/>
              <w:jc w:val="both"/>
            </w:pPr>
            <w:r>
              <w:rPr>
                <w:rFonts w:ascii="Times New Roman"/>
                <w:b w:val="false"/>
                <w:i w:val="false"/>
                <w:color w:val="000000"/>
                <w:sz w:val="20"/>
              </w:rPr>
              <w:t>
5) защита от шума;</w:t>
            </w:r>
          </w:p>
          <w:p>
            <w:pPr>
              <w:spacing w:after="20"/>
              <w:ind w:left="20"/>
              <w:jc w:val="both"/>
            </w:pPr>
            <w:r>
              <w:rPr>
                <w:rFonts w:ascii="Times New Roman"/>
                <w:b w:val="false"/>
                <w:i w:val="false"/>
                <w:color w:val="000000"/>
                <w:sz w:val="20"/>
              </w:rPr>
              <w:t>
6) экономия энергии и сохранение тепла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механической прочности и устойчивости, строительный объект спроектирован и построен таким образом, чтобы нагрузки, приложенные к строительному объекту в период его строительства и эксплуатации, не приводили к следующим последствиям:</w:t>
            </w:r>
          </w:p>
          <w:p>
            <w:pPr>
              <w:spacing w:after="20"/>
              <w:ind w:left="20"/>
              <w:jc w:val="both"/>
            </w:pPr>
            <w:r>
              <w:rPr>
                <w:rFonts w:ascii="Times New Roman"/>
                <w:b w:val="false"/>
                <w:i w:val="false"/>
                <w:color w:val="000000"/>
                <w:sz w:val="20"/>
              </w:rPr>
              <w:t>
1) обрушению строительного объекта или его части;</w:t>
            </w:r>
          </w:p>
          <w:p>
            <w:pPr>
              <w:spacing w:after="20"/>
              <w:ind w:left="20"/>
              <w:jc w:val="both"/>
            </w:pPr>
            <w:r>
              <w:rPr>
                <w:rFonts w:ascii="Times New Roman"/>
                <w:b w:val="false"/>
                <w:i w:val="false"/>
                <w:color w:val="000000"/>
                <w:sz w:val="20"/>
              </w:rPr>
              <w:t>
2) образованию деформации строительного объекта или его части, превышающей предельно допустимую величину;</w:t>
            </w:r>
          </w:p>
          <w:p>
            <w:pPr>
              <w:spacing w:after="20"/>
              <w:ind w:left="20"/>
              <w:jc w:val="both"/>
            </w:pPr>
            <w:r>
              <w:rPr>
                <w:rFonts w:ascii="Times New Roman"/>
                <w:b w:val="false"/>
                <w:i w:val="false"/>
                <w:color w:val="000000"/>
                <w:sz w:val="20"/>
              </w:rPr>
              <w:t>
3) повреждению строительной продукции, использованной в строительстве строительного объекта в результате значительной деформации несущих конструкций строительного объекта;</w:t>
            </w:r>
          </w:p>
          <w:p>
            <w:pPr>
              <w:spacing w:after="20"/>
              <w:ind w:left="20"/>
              <w:jc w:val="both"/>
            </w:pPr>
            <w:r>
              <w:rPr>
                <w:rFonts w:ascii="Times New Roman"/>
                <w:b w:val="false"/>
                <w:i w:val="false"/>
                <w:color w:val="000000"/>
                <w:sz w:val="20"/>
              </w:rPr>
              <w:t>
4) повреждение в результате нагрузки, по степени воздействия не превышающей первоначальную нагрузку, ставшую источником повреждения.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пожарной безопасности строительный объект спроектирован и построен таким образом, чтобы при пожаре:</w:t>
            </w:r>
          </w:p>
          <w:p>
            <w:pPr>
              <w:spacing w:after="20"/>
              <w:ind w:left="20"/>
              <w:jc w:val="both"/>
            </w:pPr>
            <w:r>
              <w:rPr>
                <w:rFonts w:ascii="Times New Roman"/>
                <w:b w:val="false"/>
                <w:i w:val="false"/>
                <w:color w:val="000000"/>
                <w:sz w:val="20"/>
              </w:rPr>
              <w:t>
1) сохранялась несущая способность строительных конструкций на протяжении установленного строительными нормами (сводами правил) времени;</w:t>
            </w:r>
          </w:p>
          <w:p>
            <w:pPr>
              <w:spacing w:after="20"/>
              <w:ind w:left="20"/>
              <w:jc w:val="both"/>
            </w:pPr>
            <w:r>
              <w:rPr>
                <w:rFonts w:ascii="Times New Roman"/>
                <w:b w:val="false"/>
                <w:i w:val="false"/>
                <w:color w:val="000000"/>
                <w:sz w:val="20"/>
              </w:rPr>
              <w:t>
2) ограничивалось возгорание и распространение огня и дыма в строительном объекте, посредством применения при строительстве и в отделке зданий и сооружений материалов с учетом их горючести, стационарных систем пожаротушения, блокирования лифтовых шахт и коммуникационных путей, устройством пожарных отсеков, применением противопожарных дверей и мероприятий с целью перекрытия вертикальных и горизонтальных путей распространения пожара;</w:t>
            </w:r>
          </w:p>
          <w:p>
            <w:pPr>
              <w:spacing w:after="20"/>
              <w:ind w:left="20"/>
              <w:jc w:val="both"/>
            </w:pPr>
            <w:r>
              <w:rPr>
                <w:rFonts w:ascii="Times New Roman"/>
                <w:b w:val="false"/>
                <w:i w:val="false"/>
                <w:color w:val="000000"/>
                <w:sz w:val="20"/>
              </w:rPr>
              <w:t>
3) ограничивалось распространение пожара на соседние строительные объекты в том числе посредством обеспечения противопожарных разрывов;</w:t>
            </w:r>
          </w:p>
          <w:p>
            <w:pPr>
              <w:spacing w:after="20"/>
              <w:ind w:left="20"/>
              <w:jc w:val="both"/>
            </w:pPr>
            <w:r>
              <w:rPr>
                <w:rFonts w:ascii="Times New Roman"/>
                <w:b w:val="false"/>
                <w:i w:val="false"/>
                <w:color w:val="000000"/>
                <w:sz w:val="20"/>
              </w:rPr>
              <w:t>
4) обеспечивалась безопасность персонала спасательных служб;</w:t>
            </w:r>
          </w:p>
          <w:p>
            <w:pPr>
              <w:spacing w:after="20"/>
              <w:ind w:left="20"/>
              <w:jc w:val="both"/>
            </w:pPr>
            <w:r>
              <w:rPr>
                <w:rFonts w:ascii="Times New Roman"/>
                <w:b w:val="false"/>
                <w:i w:val="false"/>
                <w:color w:val="000000"/>
                <w:sz w:val="20"/>
              </w:rPr>
              <w:t>
5) обеспечение своевременного оповещения о возникновении очага возгорания, посредством применения систем пожарной сигнализации и оповещения о пожаре;</w:t>
            </w:r>
          </w:p>
          <w:p>
            <w:pPr>
              <w:spacing w:after="20"/>
              <w:ind w:left="20"/>
              <w:jc w:val="both"/>
            </w:pPr>
            <w:r>
              <w:rPr>
                <w:rFonts w:ascii="Times New Roman"/>
                <w:b w:val="false"/>
                <w:i w:val="false"/>
                <w:color w:val="000000"/>
                <w:sz w:val="20"/>
              </w:rPr>
              <w:t>
6) обеспечение возможности безопасной эвакуации людей, с учетом особенностей групп населения, в безопасную зону до нанесения вреда их жизни и здоровью вследствие воздействия опасных факторов пожара, посредством применения систем дымоудаления, незадымляемых лестниц, неблокируемых дверей и люков, обозначением путей эвакуации самосветящимися указателями (без применения электрической энергии);</w:t>
            </w:r>
          </w:p>
          <w:p>
            <w:pPr>
              <w:spacing w:after="20"/>
              <w:ind w:left="20"/>
              <w:jc w:val="both"/>
            </w:pPr>
            <w:r>
              <w:rPr>
                <w:rFonts w:ascii="Times New Roman"/>
                <w:b w:val="false"/>
                <w:i w:val="false"/>
                <w:color w:val="000000"/>
                <w:sz w:val="20"/>
              </w:rPr>
              <w:t>
7) обеспечение доступа противопожарных подразделений и спасателей и возможность доставки средств пожаротушения во все помещения здания и сооружения;</w:t>
            </w:r>
          </w:p>
          <w:p>
            <w:pPr>
              <w:spacing w:after="20"/>
              <w:ind w:left="20"/>
              <w:jc w:val="both"/>
            </w:pPr>
            <w:r>
              <w:rPr>
                <w:rFonts w:ascii="Times New Roman"/>
                <w:b w:val="false"/>
                <w:i w:val="false"/>
                <w:color w:val="000000"/>
                <w:sz w:val="20"/>
              </w:rPr>
              <w:t>
8) обеспечение свободного подъезда пожарной техники к зданиям и сооружениям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для здоровья людей, животных и окружающей среды строительный объект спроектирован и построен таким образом, чтобы не создавалась угроза здоровью и безопасным санитарно-гигиеническим условиям находящихся в нем людей, животных и окружающей среде в результате:</w:t>
            </w:r>
          </w:p>
          <w:p>
            <w:pPr>
              <w:spacing w:after="20"/>
              <w:ind w:left="20"/>
              <w:jc w:val="both"/>
            </w:pPr>
            <w:r>
              <w:rPr>
                <w:rFonts w:ascii="Times New Roman"/>
                <w:b w:val="false"/>
                <w:i w:val="false"/>
                <w:color w:val="000000"/>
                <w:sz w:val="20"/>
              </w:rPr>
              <w:t>
1) выделения токсичных веществ;</w:t>
            </w:r>
          </w:p>
          <w:p>
            <w:pPr>
              <w:spacing w:after="20"/>
              <w:ind w:left="20"/>
              <w:jc w:val="both"/>
            </w:pPr>
            <w:r>
              <w:rPr>
                <w:rFonts w:ascii="Times New Roman"/>
                <w:b w:val="false"/>
                <w:i w:val="false"/>
                <w:color w:val="000000"/>
                <w:sz w:val="20"/>
              </w:rPr>
              <w:t>
2) присутствия в воздухе опасных твердых частиц и газообразных примесей;</w:t>
            </w:r>
          </w:p>
          <w:p>
            <w:pPr>
              <w:spacing w:after="20"/>
              <w:ind w:left="20"/>
              <w:jc w:val="both"/>
            </w:pPr>
            <w:r>
              <w:rPr>
                <w:rFonts w:ascii="Times New Roman"/>
                <w:b w:val="false"/>
                <w:i w:val="false"/>
                <w:color w:val="000000"/>
                <w:sz w:val="20"/>
              </w:rPr>
              <w:t>
3) опасного уровня радиации;</w:t>
            </w:r>
          </w:p>
          <w:p>
            <w:pPr>
              <w:spacing w:after="20"/>
              <w:ind w:left="20"/>
              <w:jc w:val="both"/>
            </w:pPr>
            <w:r>
              <w:rPr>
                <w:rFonts w:ascii="Times New Roman"/>
                <w:b w:val="false"/>
                <w:i w:val="false"/>
                <w:color w:val="000000"/>
                <w:sz w:val="20"/>
              </w:rPr>
              <w:t>
4) загрязнение или отравление воды и почвы;</w:t>
            </w:r>
          </w:p>
          <w:p>
            <w:pPr>
              <w:spacing w:after="20"/>
              <w:ind w:left="20"/>
              <w:jc w:val="both"/>
            </w:pPr>
            <w:r>
              <w:rPr>
                <w:rFonts w:ascii="Times New Roman"/>
                <w:b w:val="false"/>
                <w:i w:val="false"/>
                <w:color w:val="000000"/>
                <w:sz w:val="20"/>
              </w:rPr>
              <w:t>
5) неадекватного удаления отработанной воды, дыма, твердых и жидких отходов;</w:t>
            </w:r>
          </w:p>
          <w:p>
            <w:pPr>
              <w:spacing w:after="20"/>
              <w:ind w:left="20"/>
              <w:jc w:val="both"/>
            </w:pPr>
            <w:r>
              <w:rPr>
                <w:rFonts w:ascii="Times New Roman"/>
                <w:b w:val="false"/>
                <w:i w:val="false"/>
                <w:color w:val="000000"/>
                <w:sz w:val="20"/>
              </w:rPr>
              <w:t>
6) просачивания влаги в частях строительного объекта или на его поверхностях, за счет атмосферных осадков и утечки водопроводно-канализационных сетей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безопасности в процессе эксплуатации (использования) строительный объект спроектирован и построен таким образом, чтобы не создавались неприемлемые риски несчастных случаев при использовании или обслуживании строительного объекта, включая подскальзывание, падение, столкновение, ожоги, удары электрическим током, травмы в результате взрывов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защиты от шума строительный объект спроектирован и построен таким образом, чтобы шум, воспринимаемый людьми, находящимися в строительном объекте или рядом с ним, не превышал безопасного для здоровья уровня и не препятствовал удовлетворительным условиям сна, отдыха и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для обеспечения выполнения требований экономии энергии и сохранении тепла строительный объект и его системы отопления, кондиционирования и вентиляции спроектированы и построены таким образом, чтобы количество энергии, требуемое для эксплуатации строительного объекта, было низким с учетом климатических условий местности и обеспечения комфорта, находящихся в нем людей и (или) животных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безопасности перед выпуском удобрений в обращение на рынок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изготовителем, уполномоченным изготовителем лицом, импортером требований по обеспечению соответствия безопасности удобрений следующим требованиям:</w:t>
            </w:r>
          </w:p>
          <w:p>
            <w:pPr>
              <w:spacing w:after="20"/>
              <w:ind w:left="20"/>
              <w:jc w:val="both"/>
            </w:pPr>
            <w:r>
              <w:rPr>
                <w:rFonts w:ascii="Times New Roman"/>
                <w:b w:val="false"/>
                <w:i w:val="false"/>
                <w:color w:val="000000"/>
                <w:sz w:val="20"/>
              </w:rPr>
              <w:t>
массовая доля биурета (для карбамида) не превышает 1,4 процентов (далее - %);</w:t>
            </w:r>
          </w:p>
          <w:p>
            <w:pPr>
              <w:spacing w:after="20"/>
              <w:ind w:left="20"/>
              <w:jc w:val="both"/>
            </w:pPr>
            <w:r>
              <w:rPr>
                <w:rFonts w:ascii="Times New Roman"/>
                <w:b w:val="false"/>
                <w:i w:val="false"/>
                <w:color w:val="000000"/>
                <w:sz w:val="20"/>
              </w:rPr>
              <w:t>
удельная активность природных радионуклидов для фосфорных удобрений и почвоулучшающих веществ не превышает 4000 беккерель/килограмм;</w:t>
            </w:r>
          </w:p>
          <w:p>
            <w:pPr>
              <w:spacing w:after="20"/>
              <w:ind w:left="20"/>
              <w:jc w:val="both"/>
            </w:pPr>
            <w:r>
              <w:rPr>
                <w:rFonts w:ascii="Times New Roman"/>
                <w:b w:val="false"/>
                <w:i w:val="false"/>
                <w:color w:val="000000"/>
                <w:sz w:val="20"/>
              </w:rPr>
              <w:t>
биологическая безопасность органических и органоминеральных удобрений обеспечивается отсутствием:</w:t>
            </w:r>
          </w:p>
          <w:p>
            <w:pPr>
              <w:spacing w:after="20"/>
              <w:ind w:left="20"/>
              <w:jc w:val="both"/>
            </w:pPr>
            <w:r>
              <w:rPr>
                <w:rFonts w:ascii="Times New Roman"/>
                <w:b w:val="false"/>
                <w:i w:val="false"/>
                <w:color w:val="000000"/>
                <w:sz w:val="20"/>
              </w:rPr>
              <w:t>
1) патогенных бактерий;</w:t>
            </w:r>
          </w:p>
          <w:p>
            <w:pPr>
              <w:spacing w:after="20"/>
              <w:ind w:left="20"/>
              <w:jc w:val="both"/>
            </w:pPr>
            <w:r>
              <w:rPr>
                <w:rFonts w:ascii="Times New Roman"/>
                <w:b w:val="false"/>
                <w:i w:val="false"/>
                <w:color w:val="000000"/>
                <w:sz w:val="20"/>
              </w:rPr>
              <w:t>
2) жизнеспособных яиц гельминтов;</w:t>
            </w:r>
          </w:p>
          <w:p>
            <w:pPr>
              <w:spacing w:after="20"/>
              <w:ind w:left="20"/>
              <w:jc w:val="both"/>
            </w:pPr>
            <w:r>
              <w:rPr>
                <w:rFonts w:ascii="Times New Roman"/>
                <w:b w:val="false"/>
                <w:i w:val="false"/>
                <w:color w:val="000000"/>
                <w:sz w:val="20"/>
              </w:rPr>
              <w:t>
3) цист кишечных патогенных простейших;</w:t>
            </w:r>
          </w:p>
          <w:p>
            <w:pPr>
              <w:spacing w:after="20"/>
              <w:ind w:left="20"/>
              <w:jc w:val="both"/>
            </w:pPr>
            <w:r>
              <w:rPr>
                <w:rFonts w:ascii="Times New Roman"/>
                <w:b w:val="false"/>
                <w:i w:val="false"/>
                <w:color w:val="000000"/>
                <w:sz w:val="20"/>
              </w:rPr>
              <w:t>
4) личинок и куколок синантропных мух;</w:t>
            </w:r>
          </w:p>
          <w:p>
            <w:pPr>
              <w:spacing w:after="20"/>
              <w:ind w:left="20"/>
              <w:jc w:val="both"/>
            </w:pPr>
            <w:r>
              <w:rPr>
                <w:rFonts w:ascii="Times New Roman"/>
                <w:b w:val="false"/>
                <w:i w:val="false"/>
                <w:color w:val="000000"/>
                <w:sz w:val="20"/>
              </w:rPr>
              <w:t>
5) энтерококков;</w:t>
            </w:r>
          </w:p>
          <w:p>
            <w:pPr>
              <w:spacing w:after="20"/>
              <w:ind w:left="20"/>
              <w:jc w:val="both"/>
            </w:pPr>
            <w:r>
              <w:rPr>
                <w:rFonts w:ascii="Times New Roman"/>
                <w:b w:val="false"/>
                <w:i w:val="false"/>
                <w:color w:val="000000"/>
                <w:sz w:val="20"/>
              </w:rPr>
              <w:t>
Для удобрений устанавливается гарантийный срок хранения и срок годности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осуществляется в специальных закрытых помещениях (складах), емкостях (силосах, хранилищах). Допускается хранение удобрений, упакованных в мягкие контейнеры, на открытых площадках с твердым покрытием и под навесом. При хранении обеспечивается сохранность удобрений (их количество и качество) и отсутствует риск нанесения ущерба окружающей среде.</w:t>
            </w:r>
          </w:p>
          <w:p>
            <w:pPr>
              <w:spacing w:after="20"/>
              <w:ind w:left="20"/>
              <w:jc w:val="both"/>
            </w:pPr>
            <w:r>
              <w:rPr>
                <w:rFonts w:ascii="Times New Roman"/>
                <w:b w:val="false"/>
                <w:i w:val="false"/>
                <w:color w:val="000000"/>
                <w:sz w:val="20"/>
              </w:rPr>
              <w:t>
Соблюдение специфических требований к условиям хранения, указанным в паспорте безопасности на конкретный вид удобрения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удобрений с учетом их физико-химических свойств и необходимости их раздельного хранения с сильными окислителями, пожароопасными и взрывоопасными веществами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пожаровзрывоопасных удобрений (селитры и удобрения на их основе) в отдельно стоящих складах или секциях складов для минеральных удобрений, размещенных в торцевой части склада и отделенных от остальной части склада противопожарными преградами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информации в местах хранения удобрений, на видных местах, об особенностях хранения указанных средств, правилах гигиены, мерах безопасности, в том числе при ликвидации тех или иных аварийных ситуаций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хранении превышения количества удобрений емкости склада, предусмотренной его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складов удобрений для совместного хранения продуктов питания, фуража, различных предметов хозяйственного и бытового назначения, техники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складирование бочек, бидонов с жидкими удобрениями производится заливными отверстиями вверх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к местам складирования удобрений свободного доступа персонала на случай аварийной ситуации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хранении емкостей с жидкими удобрениями предусматриваются технические меры и средства, направленные на локализацию всего объема вылившегося продукта при аварийном разрушении емкости (влагонепроницаемые помещения, водонепроницаемые поддоны)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неупакованных минеральных удобрений разных видов в отдельных отсеках склада или отдельных складах.</w:t>
            </w:r>
          </w:p>
          <w:p>
            <w:pPr>
              <w:spacing w:after="20"/>
              <w:ind w:left="20"/>
              <w:jc w:val="both"/>
            </w:pPr>
            <w:r>
              <w:rPr>
                <w:rFonts w:ascii="Times New Roman"/>
                <w:b w:val="false"/>
                <w:i w:val="false"/>
                <w:color w:val="000000"/>
                <w:sz w:val="20"/>
              </w:rPr>
              <w:t>
Складирование в одном складе различных видов минеральных удобрений допускается, если свойства минеральных удобрений не препятствуют совместному хранению и при условии соблюдения разделительной зоны между удобрениями разных видов шириной не менее 1 метра и установки таблички с указанием вида складируемой продукции.</w:t>
            </w:r>
          </w:p>
          <w:p>
            <w:pPr>
              <w:spacing w:after="20"/>
              <w:ind w:left="20"/>
              <w:jc w:val="both"/>
            </w:pPr>
            <w:r>
              <w:rPr>
                <w:rFonts w:ascii="Times New Roman"/>
                <w:b w:val="false"/>
                <w:i w:val="false"/>
                <w:color w:val="000000"/>
                <w:sz w:val="20"/>
              </w:rPr>
              <w:t>
Не допускается смешивание различных видов удобрений и загрязнение их посторонними примесями и предметами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упаковки с удобрениями на стеллажах или поддонах. Высота штабелей удобрений в упакованном виде, хранящихся на поддонах не превышает 2 метров. Удобрения в мягких контейнерах хранят в 2 яруса.</w:t>
            </w:r>
          </w:p>
          <w:p>
            <w:pPr>
              <w:spacing w:after="20"/>
              <w:ind w:left="20"/>
              <w:jc w:val="both"/>
            </w:pPr>
            <w:r>
              <w:rPr>
                <w:rFonts w:ascii="Times New Roman"/>
                <w:b w:val="false"/>
                <w:i w:val="false"/>
                <w:color w:val="000000"/>
                <w:sz w:val="20"/>
              </w:rPr>
              <w:t>
Упакованные удобрения хранятся отдельно по видам. Не допускается хранение упакованных удобрений навалом на полу склада без использования поддонов и стеллажей.</w:t>
            </w:r>
          </w:p>
          <w:p>
            <w:pPr>
              <w:spacing w:after="20"/>
              <w:ind w:left="20"/>
              <w:jc w:val="both"/>
            </w:pPr>
            <w:r>
              <w:rPr>
                <w:rFonts w:ascii="Times New Roman"/>
                <w:b w:val="false"/>
                <w:i w:val="false"/>
                <w:color w:val="000000"/>
                <w:sz w:val="20"/>
              </w:rPr>
              <w:t>
Расположение стеллажей и складируемых упакованных удобрений на поддонах внутри склада обеспечивают возможность уборки помещений, продвижения погрузчиков, свободный доступ персонала, а также циркуляцию воздуха внутри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подстилочный навоз, компосты, твердую фракцию жидкого навоза хранят в буртах на площадках с твердым покрытием, препятствующим инфильтрации удобрений в почву и грунтовые воды. Площадки хранения обеспечиваются жижесборниками и защищаются от заливания дождевыми и талыми водами.</w:t>
            </w:r>
          </w:p>
          <w:p>
            <w:pPr>
              <w:spacing w:after="20"/>
              <w:ind w:left="20"/>
              <w:jc w:val="both"/>
            </w:pPr>
            <w:r>
              <w:rPr>
                <w:rFonts w:ascii="Times New Roman"/>
                <w:b w:val="false"/>
                <w:i w:val="false"/>
                <w:color w:val="000000"/>
                <w:sz w:val="20"/>
              </w:rPr>
              <w:t>
При хранении бурты твердых органических удобрений покрываются слоем адсорбирующих материалов – торфом, опилками, соломой для снижения потерь питательных элементов, уровня загрязнения воздуха токсичными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полужидкого, жидкого навоза, помета, стоков в специальных накопителях секционного типа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территории, где размещены сооружения по обработке жидкого навоза, карантинных емкостей для шестисуточного выдерживания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для упаковки и тары, материалов устойчивых к разрушающему или иному вредному воздействию удобрений и не взаимодействующие с ними, вступая в реакцию, вызывающую:</w:t>
            </w:r>
          </w:p>
          <w:p>
            <w:pPr>
              <w:spacing w:after="20"/>
              <w:ind w:left="20"/>
              <w:jc w:val="both"/>
            </w:pPr>
            <w:r>
              <w:rPr>
                <w:rFonts w:ascii="Times New Roman"/>
                <w:b w:val="false"/>
                <w:i w:val="false"/>
                <w:color w:val="000000"/>
                <w:sz w:val="20"/>
              </w:rPr>
              <w:t>
1) возгорание и (или) выделение значительного количества тепла;</w:t>
            </w:r>
          </w:p>
          <w:p>
            <w:pPr>
              <w:spacing w:after="20"/>
              <w:ind w:left="20"/>
              <w:jc w:val="both"/>
            </w:pPr>
            <w:r>
              <w:rPr>
                <w:rFonts w:ascii="Times New Roman"/>
                <w:b w:val="false"/>
                <w:i w:val="false"/>
                <w:color w:val="000000"/>
                <w:sz w:val="20"/>
              </w:rPr>
              <w:t>
2) выделение легковоспламеняющихся, токсичных или удушающих газов;</w:t>
            </w:r>
          </w:p>
          <w:p>
            <w:pPr>
              <w:spacing w:after="20"/>
              <w:ind w:left="20"/>
              <w:jc w:val="both"/>
            </w:pPr>
            <w:r>
              <w:rPr>
                <w:rFonts w:ascii="Times New Roman"/>
                <w:b w:val="false"/>
                <w:i w:val="false"/>
                <w:color w:val="000000"/>
                <w:sz w:val="20"/>
              </w:rPr>
              <w:t>
3) образование химически активных и опасных веществ.</w:t>
            </w:r>
          </w:p>
          <w:p>
            <w:pPr>
              <w:spacing w:after="20"/>
              <w:ind w:left="20"/>
              <w:jc w:val="both"/>
            </w:pPr>
            <w:r>
              <w:rPr>
                <w:rFonts w:ascii="Times New Roman"/>
                <w:b w:val="false"/>
                <w:i w:val="false"/>
                <w:color w:val="000000"/>
                <w:sz w:val="20"/>
              </w:rPr>
              <w:t>
Удобрения имеют маркировку, содержащую следующую информацию:</w:t>
            </w:r>
          </w:p>
          <w:p>
            <w:pPr>
              <w:spacing w:after="20"/>
              <w:ind w:left="20"/>
              <w:jc w:val="both"/>
            </w:pPr>
            <w:r>
              <w:rPr>
                <w:rFonts w:ascii="Times New Roman"/>
                <w:b w:val="false"/>
                <w:i w:val="false"/>
                <w:color w:val="000000"/>
                <w:sz w:val="20"/>
              </w:rPr>
              <w:t>
1) наименование и назначение удобрения;</w:t>
            </w:r>
          </w:p>
          <w:p>
            <w:pPr>
              <w:spacing w:after="20"/>
              <w:ind w:left="20"/>
              <w:jc w:val="both"/>
            </w:pPr>
            <w:r>
              <w:rPr>
                <w:rFonts w:ascii="Times New Roman"/>
                <w:b w:val="false"/>
                <w:i w:val="false"/>
                <w:color w:val="000000"/>
                <w:sz w:val="20"/>
              </w:rPr>
              <w:t>
2) обозначение нормативного документа, по которому производится удобрение;</w:t>
            </w:r>
          </w:p>
          <w:p>
            <w:pPr>
              <w:spacing w:after="20"/>
              <w:ind w:left="20"/>
              <w:jc w:val="both"/>
            </w:pPr>
            <w:r>
              <w:rPr>
                <w:rFonts w:ascii="Times New Roman"/>
                <w:b w:val="false"/>
                <w:i w:val="false"/>
                <w:color w:val="000000"/>
                <w:sz w:val="20"/>
              </w:rPr>
              <w:t>
3) массовая доля основных питательных элементов, макроэлементов и микроэлементов в процентах;</w:t>
            </w:r>
          </w:p>
          <w:p>
            <w:pPr>
              <w:spacing w:after="20"/>
              <w:ind w:left="20"/>
              <w:jc w:val="both"/>
            </w:pPr>
            <w:r>
              <w:rPr>
                <w:rFonts w:ascii="Times New Roman"/>
                <w:b w:val="false"/>
                <w:i w:val="false"/>
                <w:color w:val="000000"/>
                <w:sz w:val="20"/>
              </w:rPr>
              <w:t>
4) элементы описания опасности (знак опасности, сигнальное слово и краткая характеристика опасности);</w:t>
            </w:r>
          </w:p>
          <w:p>
            <w:pPr>
              <w:spacing w:after="20"/>
              <w:ind w:left="20"/>
              <w:jc w:val="both"/>
            </w:pPr>
            <w:r>
              <w:rPr>
                <w:rFonts w:ascii="Times New Roman"/>
                <w:b w:val="false"/>
                <w:i w:val="false"/>
                <w:color w:val="000000"/>
                <w:sz w:val="20"/>
              </w:rPr>
              <w:t>
5) массу нетто (для твердых удобрений), номинальный объем в таре (для жидких удобрений);</w:t>
            </w:r>
          </w:p>
          <w:p>
            <w:pPr>
              <w:spacing w:after="20"/>
              <w:ind w:left="20"/>
              <w:jc w:val="both"/>
            </w:pPr>
            <w:r>
              <w:rPr>
                <w:rFonts w:ascii="Times New Roman"/>
                <w:b w:val="false"/>
                <w:i w:val="false"/>
                <w:color w:val="000000"/>
                <w:sz w:val="20"/>
              </w:rPr>
              <w:t>
6) наименование и местонахождение (юридический адрес, включая страну) изготовителя;</w:t>
            </w:r>
          </w:p>
          <w:p>
            <w:pPr>
              <w:spacing w:after="20"/>
              <w:ind w:left="20"/>
              <w:jc w:val="both"/>
            </w:pPr>
            <w:r>
              <w:rPr>
                <w:rFonts w:ascii="Times New Roman"/>
                <w:b w:val="false"/>
                <w:i w:val="false"/>
                <w:color w:val="000000"/>
                <w:sz w:val="20"/>
              </w:rPr>
              <w:t>
7) дату производства и номер партии;</w:t>
            </w:r>
          </w:p>
          <w:p>
            <w:pPr>
              <w:spacing w:after="20"/>
              <w:ind w:left="20"/>
              <w:jc w:val="both"/>
            </w:pPr>
            <w:r>
              <w:rPr>
                <w:rFonts w:ascii="Times New Roman"/>
                <w:b w:val="false"/>
                <w:i w:val="false"/>
                <w:color w:val="000000"/>
                <w:sz w:val="20"/>
              </w:rPr>
              <w:t>
8) гарантийный срок хранения или срок годности;</w:t>
            </w:r>
          </w:p>
          <w:p>
            <w:pPr>
              <w:spacing w:after="20"/>
              <w:ind w:left="20"/>
              <w:jc w:val="both"/>
            </w:pPr>
            <w:r>
              <w:rPr>
                <w:rFonts w:ascii="Times New Roman"/>
                <w:b w:val="false"/>
                <w:i w:val="false"/>
                <w:color w:val="000000"/>
                <w:sz w:val="20"/>
              </w:rPr>
              <w:t>
9) условия хранения;</w:t>
            </w:r>
          </w:p>
          <w:p>
            <w:pPr>
              <w:spacing w:after="20"/>
              <w:ind w:left="20"/>
              <w:jc w:val="both"/>
            </w:pPr>
            <w:r>
              <w:rPr>
                <w:rFonts w:ascii="Times New Roman"/>
                <w:b w:val="false"/>
                <w:i w:val="false"/>
                <w:color w:val="000000"/>
                <w:sz w:val="20"/>
              </w:rPr>
              <w:t>
10) рекомендации по применению, а также меры по безопасному применению, хранению и оказанию первой медицинской помощи (для удобрений, предназначенных для розничной торговли);</w:t>
            </w:r>
          </w:p>
          <w:p>
            <w:pPr>
              <w:spacing w:after="20"/>
              <w:ind w:left="20"/>
              <w:jc w:val="both"/>
            </w:pPr>
            <w:r>
              <w:rPr>
                <w:rFonts w:ascii="Times New Roman"/>
                <w:b w:val="false"/>
                <w:i w:val="false"/>
                <w:color w:val="000000"/>
                <w:sz w:val="20"/>
              </w:rPr>
              <w:t>
11) дополнительные инструкции по безопасному обращению с жидкими удобрениями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изготовление маркировки из прочного материала и недопущение утраты ее потребительских свойств в результате воздействия факторов окружающей среды.</w:t>
            </w:r>
          </w:p>
          <w:p>
            <w:pPr>
              <w:spacing w:after="20"/>
              <w:ind w:left="20"/>
              <w:jc w:val="both"/>
            </w:pPr>
            <w:r>
              <w:rPr>
                <w:rFonts w:ascii="Times New Roman"/>
                <w:b w:val="false"/>
                <w:i w:val="false"/>
                <w:color w:val="000000"/>
                <w:sz w:val="20"/>
              </w:rPr>
              <w:t>
Для удобрений, поставляемых насыпью, маркировка указывается в сопроводительных документах.</w:t>
            </w:r>
          </w:p>
          <w:p>
            <w:pPr>
              <w:spacing w:after="20"/>
              <w:ind w:left="20"/>
              <w:jc w:val="both"/>
            </w:pPr>
            <w:r>
              <w:rPr>
                <w:rFonts w:ascii="Times New Roman"/>
                <w:b w:val="false"/>
                <w:i w:val="false"/>
                <w:color w:val="000000"/>
                <w:sz w:val="20"/>
              </w:rPr>
              <w:t>
Наличие маркировка на государственном 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неупакованных удобрений насыпью в крытых железнодорожных вагонах, минераловозами, в закрытых палубных судах и автотранспортом с обязательным их укрытием в кузове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транспортировка жидких минеральных удобрений (безводного аммиака, аммиачной воды, углеаммиаката, жидких комплексных удобрений) специальным железнодорожным и автомобильным транспортом. Насосы, штуцеры, краны и детали, соприкасающиеся с аммиаком, изготавливаются из материала, устойчивого к агрессивному воздействию аммиака. Применение деталей из бронзы или меди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заполнение емкостей (цистерн, резервуаров) жидкими минеральными удобрениями с учетом объемного расширения продукта при возможном перепаде температур в пути следования. Емкости для транспортировки водного аммиака наполняются не более чем на 93 % от их полной вместимости, а для транспортирования безводного аммиака не более 85 %.</w:t>
            </w:r>
          </w:p>
          <w:p>
            <w:pPr>
              <w:spacing w:after="20"/>
              <w:ind w:left="20"/>
              <w:jc w:val="both"/>
            </w:pPr>
            <w:r>
              <w:rPr>
                <w:rFonts w:ascii="Times New Roman"/>
                <w:b w:val="false"/>
                <w:i w:val="false"/>
                <w:color w:val="000000"/>
                <w:sz w:val="20"/>
              </w:rPr>
              <w:t>
При транспортировке упакованных минеральных удобрений не допускается разрыв тары, пролив или россыпь груза. При повреждении тары принимаются меры по сбору остатков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специализированных точках сбыта.</w:t>
            </w:r>
          </w:p>
          <w:p>
            <w:pPr>
              <w:spacing w:after="20"/>
              <w:ind w:left="20"/>
              <w:jc w:val="both"/>
            </w:pPr>
            <w:r>
              <w:rPr>
                <w:rFonts w:ascii="Times New Roman"/>
                <w:b w:val="false"/>
                <w:i w:val="false"/>
                <w:color w:val="000000"/>
                <w:sz w:val="20"/>
              </w:rPr>
              <w:t>
Не допускается реализация удобрений в одном торговом отделе совместно с продуктами питания, лекарственными препаратами и детскими товарами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реализация удобрений в розничной торговле в упакованном виде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реализации удобрений в розничной продаже с нарушенной упаковкой и маркировкой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изготовителем, уполномоченным изготовителем лицом, импортером при выпуске в обращение продукции полной, необходимой, однозначно понимаемой и достоверной информацией о ней, исключающей ввод в заблуждение потребителей относительно состава, свойств, назначения, изготовителя и уполномоченного изготовителем лица и импортера, условия хранения, перевозки, эксплуатации, утилизации, способа изготовления (производства) и употребления (применения), даты изготовления (производства), энергопотребления (для энергопотребляющего оборудования), происхождения, срока годности, массы, объема, количества, а также сведений прямо или косвенно характеризующих качество и безопасность продукции и обеспечивающих возможность их правильного выбора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информация для потребителя при реализации продукции предоставляется с продукцией в форме текста, условных обозначений и рисунков на упаковке (таре) и этикетке, ярлыке, документах, памятках (листах-вкладышах, информационных листах.</w:t>
            </w:r>
          </w:p>
          <w:p>
            <w:pPr>
              <w:spacing w:after="20"/>
              <w:ind w:left="20"/>
              <w:jc w:val="both"/>
            </w:pPr>
            <w:r>
              <w:rPr>
                <w:rFonts w:ascii="Times New Roman"/>
                <w:b w:val="false"/>
                <w:i w:val="false"/>
                <w:color w:val="000000"/>
                <w:sz w:val="20"/>
              </w:rPr>
              <w:t>
При реализации продукции, информация для потребителя предоставляется изготовителем, уполномоченным изготовителем лицом, импортером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и текст маркировки на государственном и русском языках, с учетом норм правописания государственного и русского языка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информации для потребителя на каждой единице продукции в удобном для чтения (ознакомления) месте на упаковке (таре), этикетке, ярлыке, документах, памятках (листах-вкладышах, информационных листах)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в четкой и легко читаемой форме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информации для потребителя о подтверждении соответствия продукции изготовителем, уполномоченным изготовителем лицом, импортером в виде:</w:t>
            </w:r>
          </w:p>
          <w:p>
            <w:pPr>
              <w:spacing w:after="20"/>
              <w:ind w:left="20"/>
              <w:jc w:val="both"/>
            </w:pPr>
            <w:r>
              <w:rPr>
                <w:rFonts w:ascii="Times New Roman"/>
                <w:b w:val="false"/>
                <w:i w:val="false"/>
                <w:color w:val="000000"/>
                <w:sz w:val="20"/>
              </w:rPr>
              <w:t>
знака соответствия (при наличии), нанесенного в соответствии с действующими документами по стандартизации;</w:t>
            </w:r>
          </w:p>
          <w:p>
            <w:pPr>
              <w:spacing w:after="20"/>
              <w:ind w:left="20"/>
              <w:jc w:val="both"/>
            </w:pPr>
            <w:r>
              <w:rPr>
                <w:rFonts w:ascii="Times New Roman"/>
                <w:b w:val="false"/>
                <w:i w:val="false"/>
                <w:color w:val="000000"/>
                <w:sz w:val="20"/>
              </w:rPr>
              <w:t>
сертификата соответствия (копии сертификата соответствия) или декларации соответствия (копии декларации соответствия) в соответствии с Законом, сопровождающего продукцию.</w:t>
            </w:r>
          </w:p>
          <w:p>
            <w:pPr>
              <w:spacing w:after="20"/>
              <w:ind w:left="20"/>
              <w:jc w:val="both"/>
            </w:pPr>
            <w:r>
              <w:rPr>
                <w:rFonts w:ascii="Times New Roman"/>
                <w:b w:val="false"/>
                <w:i w:val="false"/>
                <w:color w:val="000000"/>
                <w:sz w:val="20"/>
              </w:rPr>
              <w:t>
Информацию о подтверждении соответствия неупакованной или нефасованной продукции до потребителя доводит изготовитель и (или) уполномоченное изготовителем лицо и (или) импортер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информации для потребителя о продукции наименования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указания в наименовании продукции нижеследующего:</w:t>
            </w:r>
          </w:p>
          <w:p>
            <w:pPr>
              <w:spacing w:after="20"/>
              <w:ind w:left="20"/>
              <w:jc w:val="both"/>
            </w:pPr>
            <w:r>
              <w:rPr>
                <w:rFonts w:ascii="Times New Roman"/>
                <w:b w:val="false"/>
                <w:i w:val="false"/>
                <w:color w:val="000000"/>
                <w:sz w:val="20"/>
              </w:rPr>
              <w:t>
1) указывать, наименование другой аналогичной продукции;</w:t>
            </w:r>
          </w:p>
          <w:p>
            <w:pPr>
              <w:spacing w:after="20"/>
              <w:ind w:left="20"/>
              <w:jc w:val="both"/>
            </w:pPr>
            <w:r>
              <w:rPr>
                <w:rFonts w:ascii="Times New Roman"/>
                <w:b w:val="false"/>
                <w:i w:val="false"/>
                <w:color w:val="000000"/>
                <w:sz w:val="20"/>
              </w:rPr>
              <w:t>
2) присваивать продукции наименование, вводящее потребителей в заблуждение относительно происхождения (природы)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продукции, об отличительных свойствах продукции, состоянии и специальной обработке (при наличии)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использовании и изготовлении (производстве) продукции обработанного основного ингредиента, соответствующая информация включается в наименование продукции или ее располагают в непосредственной близости от наименования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в продукции составного компонента (состоящего из двух и более компонентов), указывается состав продукции в порядке убывания/уменьшения доли содержания. Если продукция изготовлена (произведена) из двух основных компонентов, допускается указывать их в наименовании продукции, при этом, не указывая их отдельно, как состав (комплект)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наименования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наименованию, зарегистрированному в установленном порядке в стране его местонахождения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информации для потребителя о наименовании и местонахождении (юридический адрес) изготовителя и организации, принимающей претензии по качеству продукции (уполномоченное изготовителем лицо и (или) импортер), лицензиара (если продукция изготовлена (произведена) по лицензии), регистрационного номера и даты регистрации для продукции, подлежащей государственной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юридический адрес изготовителя и организации, принимающей претензии по качеству продукции (уполномоченное изготовителем лицо и (или) импортер), и лицензиара (если продукция изготовлена (произведена) по лицензии), включает название страны, города (области и населенного пункта), улицы, номера дома и офиса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организации, получившие в установленном порядке право (лицензию) на изготовление (производство) и реализацию продукции помещают на упаковке (таре) товарные знаки организаций, компаний и фирм, предоставивших им это право (лицензию)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указание информации для потребителя масса нетто, брутто, основные размеры и объем продукции в метрической системе мер на упаковке (таре)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выбора величины для указания количества упакованной продукции, с учетом следующих правил:</w:t>
            </w:r>
          </w:p>
          <w:p>
            <w:pPr>
              <w:spacing w:after="20"/>
              <w:ind w:left="20"/>
              <w:jc w:val="both"/>
            </w:pPr>
            <w:r>
              <w:rPr>
                <w:rFonts w:ascii="Times New Roman"/>
                <w:b w:val="false"/>
                <w:i w:val="false"/>
                <w:color w:val="000000"/>
                <w:sz w:val="20"/>
              </w:rPr>
              <w:t>
1) если продукция жидкая, то указывается ее объем;</w:t>
            </w:r>
          </w:p>
          <w:p>
            <w:pPr>
              <w:spacing w:after="20"/>
              <w:ind w:left="20"/>
              <w:jc w:val="both"/>
            </w:pPr>
            <w:r>
              <w:rPr>
                <w:rFonts w:ascii="Times New Roman"/>
                <w:b w:val="false"/>
                <w:i w:val="false"/>
                <w:color w:val="000000"/>
                <w:sz w:val="20"/>
              </w:rPr>
              <w:t>
2) если продукция пастообразная, вязкая или вязкопластичной консистенции, то указывается, либо ее объем, либо масса;</w:t>
            </w:r>
          </w:p>
          <w:p>
            <w:pPr>
              <w:spacing w:after="20"/>
              <w:ind w:left="20"/>
              <w:jc w:val="both"/>
            </w:pPr>
            <w:r>
              <w:rPr>
                <w:rFonts w:ascii="Times New Roman"/>
                <w:b w:val="false"/>
                <w:i w:val="false"/>
                <w:color w:val="000000"/>
                <w:sz w:val="20"/>
              </w:rPr>
              <w:t>
3) если продукция твердая, сыпучая, является смесью твердого и жидкого вещества, то указывается ее масса.</w:t>
            </w:r>
          </w:p>
          <w:p>
            <w:pPr>
              <w:spacing w:after="20"/>
              <w:ind w:left="20"/>
              <w:jc w:val="both"/>
            </w:pPr>
            <w:r>
              <w:rPr>
                <w:rFonts w:ascii="Times New Roman"/>
                <w:b w:val="false"/>
                <w:i w:val="false"/>
                <w:color w:val="000000"/>
                <w:sz w:val="20"/>
              </w:rPr>
              <w:t>
Допускается одновременное использование двух величин для указания количества продукции, например масса и количество штук, масса и объем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указанию условий хранения для продукции, требующей специальных условий хранения (пониженной температуры, светового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устанавливание срока годности продукции если продукция имеет период времени, по истечению которого считается небезопасной для использования.</w:t>
            </w:r>
          </w:p>
          <w:p>
            <w:pPr>
              <w:spacing w:after="20"/>
              <w:ind w:left="20"/>
              <w:jc w:val="both"/>
            </w:pPr>
            <w:r>
              <w:rPr>
                <w:rFonts w:ascii="Times New Roman"/>
                <w:b w:val="false"/>
                <w:i w:val="false"/>
                <w:color w:val="000000"/>
                <w:sz w:val="20"/>
              </w:rPr>
              <w:t>
Срок годности, установленный изготовителем гарантирует соответствие продукции требованиям безопасности жизни и здоровью потребителей, при соблюдении установленных условий хранения.</w:t>
            </w:r>
          </w:p>
          <w:p>
            <w:pPr>
              <w:spacing w:after="20"/>
              <w:ind w:left="20"/>
              <w:jc w:val="both"/>
            </w:pPr>
            <w:r>
              <w:rPr>
                <w:rFonts w:ascii="Times New Roman"/>
                <w:b w:val="false"/>
                <w:i w:val="false"/>
                <w:color w:val="000000"/>
                <w:sz w:val="20"/>
              </w:rPr>
              <w:t>
Срок годности исчисляют с даты изготовления (производства) продукции.</w:t>
            </w:r>
          </w:p>
          <w:p>
            <w:pPr>
              <w:spacing w:after="20"/>
              <w:ind w:left="20"/>
              <w:jc w:val="both"/>
            </w:pPr>
            <w:r>
              <w:rPr>
                <w:rFonts w:ascii="Times New Roman"/>
                <w:b w:val="false"/>
                <w:i w:val="false"/>
                <w:color w:val="000000"/>
                <w:sz w:val="20"/>
              </w:rPr>
              <w:t>
В зависимости от длительности срок годности указывается следующим образом: "Годен... (часов, дней, месяцев или лет)", "Годен до... (дата)", "Использовать до... (дата)", "Годен в течение... (часов, дней, месяцев или лет)", "Срок годности … (часов, дней, месяцев или лет)", "Срок службы... (лет - часов - циклов)".</w:t>
            </w:r>
          </w:p>
          <w:p>
            <w:pPr>
              <w:spacing w:after="20"/>
              <w:ind w:left="20"/>
              <w:jc w:val="both"/>
            </w:pPr>
            <w:r>
              <w:rPr>
                <w:rFonts w:ascii="Times New Roman"/>
                <w:b w:val="false"/>
                <w:i w:val="false"/>
                <w:color w:val="000000"/>
                <w:sz w:val="20"/>
              </w:rPr>
              <w:t>
Если срок годности указывают словами "Годен в течение.... (часов, дней, месяцев или лет)", "Срок годности … (часов, дней, месяцев или лет)", то на этикетку или упаковку (тару) наносится дата изготовления (производства) продукции.</w:t>
            </w:r>
          </w:p>
          <w:p>
            <w:pPr>
              <w:spacing w:after="20"/>
              <w:ind w:left="20"/>
              <w:jc w:val="both"/>
            </w:pPr>
            <w:r>
              <w:rPr>
                <w:rFonts w:ascii="Times New Roman"/>
                <w:b w:val="false"/>
                <w:i w:val="false"/>
                <w:color w:val="000000"/>
                <w:sz w:val="20"/>
              </w:rPr>
              <w:t>
Допускается указание даты изготовления (производства), упаковки, окончания срока годности наносить путем просечек (отметок) против чисел на кромках этикеток или погашением чисел, соответствующих дате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при наличии требований безопасности при хранении, перевозке, использовании, утилизации (переработки), уничтожении продукции выделяются от остальной информации для потребителя другим шрифтом, цветом или иными способами.</w:t>
            </w:r>
          </w:p>
          <w:p>
            <w:pPr>
              <w:spacing w:after="20"/>
              <w:ind w:left="20"/>
              <w:jc w:val="both"/>
            </w:pPr>
            <w:r>
              <w:rPr>
                <w:rFonts w:ascii="Times New Roman"/>
                <w:b w:val="false"/>
                <w:i w:val="false"/>
                <w:color w:val="000000"/>
                <w:sz w:val="20"/>
              </w:rPr>
              <w:t>
Если упаковка (тара), в которую помещена продукция, покрыта дополнительной упаковкой, то либо этикетка внутренней упаковки легко читаема сквозь наружную упаковку, либо на наружной упаковке аналогичная этикетка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в соответствии с которым средства нанесения информации для потребителей, контактирующие с продукцией, не влияют на безопасность и качество продукции, обеспечивать стойкость маркировки при хранении, перевозке и реализации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проведения оперативно-розыскных мероприятий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обеспечению сбора и хранению служебной информации об абонентах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к коммутационному оборудованию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телекоммуникационного оборудования по обеспечению проведения оперативно-розыскных мероприятий, сбора и хранения служебной информации об абонентах требованиям по защите средств проведения оперативно-розыскных мероприятий, средств сбора и хранения служебной информации об абонентах от несанкционированного доступа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выпускаемые в обращение на рынки сбыта железобетонные и бетонные конструкции (в том числе импортируемые) обеспечиваются: </w:t>
            </w:r>
          </w:p>
          <w:p>
            <w:pPr>
              <w:spacing w:after="20"/>
              <w:ind w:left="20"/>
              <w:jc w:val="both"/>
            </w:pPr>
            <w:r>
              <w:rPr>
                <w:rFonts w:ascii="Times New Roman"/>
                <w:b w:val="false"/>
                <w:i w:val="false"/>
                <w:color w:val="000000"/>
                <w:sz w:val="20"/>
              </w:rPr>
              <w:t xml:space="preserve">
1) сопроводительной документацией для потребителя (документы, подтверждающие качество в соответствии с технической или нормативной документацией, сертификат соответствия или декларация о соответствии), необходимой для оценки возможных рисков причинения вреда и принятии соответствующих мер безопасности; </w:t>
            </w:r>
          </w:p>
          <w:p>
            <w:pPr>
              <w:spacing w:after="20"/>
              <w:ind w:left="20"/>
              <w:jc w:val="both"/>
            </w:pPr>
            <w:r>
              <w:rPr>
                <w:rFonts w:ascii="Times New Roman"/>
                <w:b w:val="false"/>
                <w:i w:val="false"/>
                <w:color w:val="000000"/>
                <w:sz w:val="20"/>
              </w:rPr>
              <w:t xml:space="preserve">
2) инструкцией по информированию потребителя при выявлении после реализации железобетонных и бетонных конструкций их потенциальной опасности с целью принятия мер безопасности; </w:t>
            </w:r>
          </w:p>
          <w:p>
            <w:pPr>
              <w:spacing w:after="20"/>
              <w:ind w:left="20"/>
              <w:jc w:val="both"/>
            </w:pPr>
            <w:r>
              <w:rPr>
                <w:rFonts w:ascii="Times New Roman"/>
                <w:b w:val="false"/>
                <w:i w:val="false"/>
                <w:color w:val="000000"/>
                <w:sz w:val="20"/>
              </w:rPr>
              <w:t xml:space="preserve">
3) идентифицирующей маркировкой (класс, марка, масса, партия, дата изготовления) непосредственно на изделии или в сопроводительной документации; </w:t>
            </w:r>
          </w:p>
          <w:p>
            <w:pPr>
              <w:spacing w:after="20"/>
              <w:ind w:left="20"/>
              <w:jc w:val="both"/>
            </w:pPr>
            <w:r>
              <w:rPr>
                <w:rFonts w:ascii="Times New Roman"/>
                <w:b w:val="false"/>
                <w:i w:val="false"/>
                <w:color w:val="000000"/>
                <w:sz w:val="20"/>
              </w:rPr>
              <w:t>
4) необходимой технической документацией по применению (монтажу) железобетонных и бетонных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и бетонным конструкциям по наличию предупредительной и идентифицирующей маркировке которая наносится (записывается) в виде текста, символов, пиктограмм. </w:t>
            </w:r>
          </w:p>
          <w:p>
            <w:pPr>
              <w:spacing w:after="20"/>
              <w:ind w:left="20"/>
              <w:jc w:val="both"/>
            </w:pPr>
            <w:r>
              <w:rPr>
                <w:rFonts w:ascii="Times New Roman"/>
                <w:b w:val="false"/>
                <w:i w:val="false"/>
                <w:color w:val="000000"/>
                <w:sz w:val="20"/>
              </w:rPr>
              <w:t xml:space="preserve">
Информация для потребителя четкая и легко читаемая. При этом требования безопасности выделены другим шрифтом, цветом или иным способом. </w:t>
            </w:r>
          </w:p>
          <w:p>
            <w:pPr>
              <w:spacing w:after="20"/>
              <w:ind w:left="20"/>
              <w:jc w:val="both"/>
            </w:pPr>
            <w:r>
              <w:rPr>
                <w:rFonts w:ascii="Times New Roman"/>
                <w:b w:val="false"/>
                <w:i w:val="false"/>
                <w:color w:val="000000"/>
                <w:sz w:val="20"/>
              </w:rPr>
              <w:t>
Средства нанесения информации обеспечивать стойкость маркировки при хранении, транспортировке, использовании для строительства зданий и сооружений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безопасности к железобетонным и бетонным конструкциям по наличию таких начальных характеристик, чтобы при различных расчетных нагрузках и воздействиях в процессе строительства и эксплуатации зданий и сооружений были исключены разрушения любого характера, связанные с риском причинения вреда жизни или здоровью граждан, имуществу, окружающей среде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к железобетонным конструкциям согласно которым безопасность железобетонных и бетонных конструкций осуществляется в соответствии с заданием на проектирование, нормативно-технической и нормативной документацией и обеспечена выполнением: </w:t>
            </w:r>
          </w:p>
          <w:p>
            <w:pPr>
              <w:spacing w:after="20"/>
              <w:ind w:left="20"/>
              <w:jc w:val="both"/>
            </w:pPr>
            <w:r>
              <w:rPr>
                <w:rFonts w:ascii="Times New Roman"/>
                <w:b w:val="false"/>
                <w:i w:val="false"/>
                <w:color w:val="000000"/>
                <w:sz w:val="20"/>
              </w:rPr>
              <w:t xml:space="preserve">
1) требований к бетону и его составляющим; </w:t>
            </w:r>
          </w:p>
          <w:p>
            <w:pPr>
              <w:spacing w:after="20"/>
              <w:ind w:left="20"/>
              <w:jc w:val="both"/>
            </w:pPr>
            <w:r>
              <w:rPr>
                <w:rFonts w:ascii="Times New Roman"/>
                <w:b w:val="false"/>
                <w:i w:val="false"/>
                <w:color w:val="000000"/>
                <w:sz w:val="20"/>
              </w:rPr>
              <w:t xml:space="preserve">
2) требований к арматуре; </w:t>
            </w:r>
          </w:p>
          <w:p>
            <w:pPr>
              <w:spacing w:after="20"/>
              <w:ind w:left="20"/>
              <w:jc w:val="both"/>
            </w:pPr>
            <w:r>
              <w:rPr>
                <w:rFonts w:ascii="Times New Roman"/>
                <w:b w:val="false"/>
                <w:i w:val="false"/>
                <w:color w:val="000000"/>
                <w:sz w:val="20"/>
              </w:rPr>
              <w:t xml:space="preserve">
3) требований к расчетам конструкций; </w:t>
            </w:r>
          </w:p>
          <w:p>
            <w:pPr>
              <w:spacing w:after="20"/>
              <w:ind w:left="20"/>
              <w:jc w:val="both"/>
            </w:pPr>
            <w:r>
              <w:rPr>
                <w:rFonts w:ascii="Times New Roman"/>
                <w:b w:val="false"/>
                <w:i w:val="false"/>
                <w:color w:val="000000"/>
                <w:sz w:val="20"/>
              </w:rPr>
              <w:t xml:space="preserve">
4) конструктивных требований; </w:t>
            </w:r>
          </w:p>
          <w:p>
            <w:pPr>
              <w:spacing w:after="20"/>
              <w:ind w:left="20"/>
              <w:jc w:val="both"/>
            </w:pPr>
            <w:r>
              <w:rPr>
                <w:rFonts w:ascii="Times New Roman"/>
                <w:b w:val="false"/>
                <w:i w:val="false"/>
                <w:color w:val="000000"/>
                <w:sz w:val="20"/>
              </w:rPr>
              <w:t xml:space="preserve">
5) технологических требований; </w:t>
            </w:r>
          </w:p>
          <w:p>
            <w:pPr>
              <w:spacing w:after="20"/>
              <w:ind w:left="20"/>
              <w:jc w:val="both"/>
            </w:pPr>
            <w:r>
              <w:rPr>
                <w:rFonts w:ascii="Times New Roman"/>
                <w:b w:val="false"/>
                <w:i w:val="false"/>
                <w:color w:val="000000"/>
                <w:sz w:val="20"/>
              </w:rPr>
              <w:t xml:space="preserve">
6) требований по использованию; </w:t>
            </w:r>
          </w:p>
          <w:p>
            <w:pPr>
              <w:spacing w:after="20"/>
              <w:ind w:left="20"/>
              <w:jc w:val="both"/>
            </w:pPr>
            <w:r>
              <w:rPr>
                <w:rFonts w:ascii="Times New Roman"/>
                <w:b w:val="false"/>
                <w:i w:val="false"/>
                <w:color w:val="000000"/>
                <w:sz w:val="20"/>
              </w:rPr>
              <w:t xml:space="preserve">
7) требований по хранению, транспортированию, монтажу и эксплуатации.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к железобетонным конструкциям по отсутствию трещин, у которых при полностью растянутом сечении обеспечена непроницаемость (находящихся под давлением жидкости или газов, испытывающих воздействие радиации), к уникальным конструкциям, к которым предъявляют повышенные требования по долговечности, а также к конструкциям, эксплуатируемым при воздействии сильно агрессивной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долговечности железобетонных и бетонных конструкций с начальными характеристиками, в течение установленного времени удовлетворяющих требования по безопасности и эксплуатационной пригодности с учетом влияния на геометрические характеристики конструкций и механические характеристики материалов различных расчетных воздействий (длительное действие нагрузки, неблагоприятные климатические, технологические, температурные и влажностные воздействия, попеременное замораживание и оттаивание, агрессивные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по оценке прочности, жесткости и трещиностойкости железобетонных и бетонных конструкций осуществляемой по результатам испытаний на основании сопоставления фактических значений разрушающей нагрузки, прогиба и ширины раскрытия трещин под контрольной нагрузкой с соответствующими контрольными значениями, установленными в проектной документации на изделие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соблюдение требования по обеспечению безопасности железобетонных конструкций применительно к арматуре и бетону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пожарной безопасности и огнестойкости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радиационной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термической безопасности и взрывобезопасности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хранении и транспортировке железобетонных и бетонных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при использовании железобетонных и бетонных конструкций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железобетонных конструкций требованиям безопасности железобетонных конструкций, применяемых для строительства в сейсмических районах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производстве, транспортировании, хранении и применении дорожно-строительных материалов и изделий надежности их работы в различных конструктивных элементах автомобильной дороги и инженерных сооружений на ней в течение их жизненного цикла под воздействием транспортных нагрузок, климатических и иных факторов в условиях, исключающих следующие последствия:</w:t>
            </w:r>
          </w:p>
          <w:p>
            <w:pPr>
              <w:spacing w:after="20"/>
              <w:ind w:left="20"/>
              <w:jc w:val="both"/>
            </w:pPr>
            <w:r>
              <w:rPr>
                <w:rFonts w:ascii="Times New Roman"/>
                <w:b w:val="false"/>
                <w:i w:val="false"/>
                <w:color w:val="000000"/>
                <w:sz w:val="20"/>
              </w:rPr>
              <w:t>
а) разрушение автомобильной дороги или сооружений, или их участков (частей);</w:t>
            </w:r>
          </w:p>
          <w:p>
            <w:pPr>
              <w:spacing w:after="20"/>
              <w:ind w:left="20"/>
              <w:jc w:val="both"/>
            </w:pPr>
            <w:r>
              <w:rPr>
                <w:rFonts w:ascii="Times New Roman"/>
                <w:b w:val="false"/>
                <w:i w:val="false"/>
                <w:color w:val="000000"/>
                <w:sz w:val="20"/>
              </w:rPr>
              <w:t>
б) необратимые деформации дорожных конструкций;</w:t>
            </w:r>
          </w:p>
          <w:p>
            <w:pPr>
              <w:spacing w:after="20"/>
              <w:ind w:left="20"/>
              <w:jc w:val="both"/>
            </w:pPr>
            <w:r>
              <w:rPr>
                <w:rFonts w:ascii="Times New Roman"/>
                <w:b w:val="false"/>
                <w:i w:val="false"/>
                <w:color w:val="000000"/>
                <w:sz w:val="20"/>
              </w:rPr>
              <w:t>
в) недопустимое снижение основных транспортно-эксплуатационных характеристик автомобильной дороги или сооружений на 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суммарной эффективной удельной активностью естественных радионуклидов превышения допустимых пределов,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предельной концентрацией вредных химических веществ при производстве, хранении, транспортировании, применении дорожно-строительных материалов и изделий, проведении дорожных работах, а также в результате их совместного воздействия на окружающую среду в процессе эксплуатации автомобильной дороги превышения допустимых значений, установленных в международных и региональных стандартах, а в случае их отсутствия – национальных (государственных) стандартах государств-членов Таможенного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физико-химическими свойствами дорожно-строительных материалов и изделий угрозы возникновения взрыва и (или) развития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физико-механических свойств дорожно-строительных материалов расчетной устойчивостью конструктивных элементов автомобильной дороги при совместном воздействии транспортной нагрузки и природных факторов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строительства, реконструкции, капитального ремонта и эксплуатации автомобильных дорог и дорожных сооружений на них с применением дорожно-строительных материалов и изделий, с подтверждением соответствия и проектной документации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13" w:id="170"/>
      <w:r>
        <w:rPr>
          <w:rFonts w:ascii="Times New Roman"/>
          <w:b w:val="false"/>
          <w:i w:val="false"/>
          <w:color w:val="000000"/>
          <w:sz w:val="28"/>
        </w:rPr>
        <w:t>
      Должностное (ые) лицо (а)</w:t>
      </w:r>
    </w:p>
    <w:bookmarkEnd w:id="170"/>
    <w:p>
      <w:pPr>
        <w:spacing w:after="0"/>
        <w:ind w:left="0"/>
        <w:jc w:val="both"/>
      </w:pPr>
      <w:r>
        <w:rPr>
          <w:rFonts w:ascii="Times New Roman"/>
          <w:b w:val="false"/>
          <w:i w:val="false"/>
          <w:color w:val="000000"/>
          <w:sz w:val="28"/>
        </w:rPr>
        <w:t>______________ ______________ 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 подпись 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p>
      <w:pPr>
        <w:spacing w:after="0"/>
        <w:ind w:left="0"/>
        <w:jc w:val="both"/>
      </w:pPr>
      <w:bookmarkStart w:name="z2514" w:id="171"/>
      <w:r>
        <w:rPr>
          <w:rFonts w:ascii="Times New Roman"/>
          <w:b w:val="false"/>
          <w:i w:val="false"/>
          <w:color w:val="000000"/>
          <w:sz w:val="28"/>
        </w:rPr>
        <w:t>
      Примечание: расшифровка аббревиатуры:</w:t>
      </w:r>
    </w:p>
    <w:bookmarkEnd w:id="171"/>
    <w:p>
      <w:pPr>
        <w:spacing w:after="0"/>
        <w:ind w:left="0"/>
        <w:jc w:val="both"/>
      </w:pPr>
      <w:r>
        <w:rPr>
          <w:rFonts w:ascii="Times New Roman"/>
          <w:b w:val="false"/>
          <w:i w:val="false"/>
          <w:color w:val="000000"/>
          <w:sz w:val="28"/>
        </w:rPr>
        <w:t>СТ РК – Национальный стандарт Республики Казахстан;</w:t>
      </w:r>
    </w:p>
    <w:p>
      <w:pPr>
        <w:spacing w:after="0"/>
        <w:ind w:left="0"/>
        <w:jc w:val="both"/>
      </w:pPr>
      <w:r>
        <w:rPr>
          <w:rFonts w:ascii="Times New Roman"/>
          <w:b w:val="false"/>
          <w:i w:val="false"/>
          <w:color w:val="000000"/>
          <w:sz w:val="28"/>
        </w:rPr>
        <w:t>кг - килограмм;</w:t>
      </w:r>
    </w:p>
    <w:p>
      <w:pPr>
        <w:spacing w:after="0"/>
        <w:ind w:left="0"/>
        <w:jc w:val="both"/>
      </w:pPr>
      <w:r>
        <w:rPr>
          <w:rFonts w:ascii="Times New Roman"/>
          <w:b w:val="false"/>
          <w:i w:val="false"/>
          <w:color w:val="000000"/>
          <w:sz w:val="28"/>
        </w:rPr>
        <w:t>м - метр;</w:t>
      </w:r>
    </w:p>
    <w:p>
      <w:pPr>
        <w:spacing w:after="0"/>
        <w:ind w:left="0"/>
        <w:jc w:val="both"/>
      </w:pPr>
      <w:r>
        <w:rPr>
          <w:rFonts w:ascii="Times New Roman"/>
          <w:b w:val="false"/>
          <w:i w:val="false"/>
          <w:color w:val="000000"/>
          <w:sz w:val="28"/>
        </w:rPr>
        <w:t>% - процент;</w:t>
      </w:r>
    </w:p>
    <w:p>
      <w:pPr>
        <w:spacing w:after="0"/>
        <w:ind w:left="0"/>
        <w:jc w:val="both"/>
      </w:pPr>
      <w:r>
        <w:rPr>
          <w:rFonts w:ascii="Times New Roman"/>
          <w:b w:val="false"/>
          <w:i w:val="false"/>
          <w:color w:val="000000"/>
          <w:sz w:val="28"/>
        </w:rPr>
        <w:t>0 С - градусы;</w:t>
      </w:r>
    </w:p>
    <w:p>
      <w:pPr>
        <w:spacing w:after="0"/>
        <w:ind w:left="0"/>
        <w:jc w:val="both"/>
      </w:pPr>
      <w:r>
        <w:rPr>
          <w:rFonts w:ascii="Times New Roman"/>
          <w:b w:val="false"/>
          <w:i w:val="false"/>
          <w:color w:val="000000"/>
          <w:sz w:val="28"/>
        </w:rPr>
        <w:t xml:space="preserve">мг/кг - миллиграмм килограмм; </w:t>
      </w:r>
    </w:p>
    <w:p>
      <w:pPr>
        <w:spacing w:after="0"/>
        <w:ind w:left="0"/>
        <w:jc w:val="both"/>
      </w:pPr>
      <w:r>
        <w:rPr>
          <w:rFonts w:ascii="Times New Roman"/>
          <w:b w:val="false"/>
          <w:i w:val="false"/>
          <w:color w:val="000000"/>
          <w:sz w:val="28"/>
        </w:rPr>
        <w:t xml:space="preserve">мм - миллиметр; </w:t>
      </w:r>
    </w:p>
    <w:p>
      <w:pPr>
        <w:spacing w:after="0"/>
        <w:ind w:left="0"/>
        <w:jc w:val="both"/>
      </w:pPr>
      <w:r>
        <w:rPr>
          <w:rFonts w:ascii="Times New Roman"/>
          <w:b w:val="false"/>
          <w:i w:val="false"/>
          <w:color w:val="000000"/>
          <w:sz w:val="28"/>
        </w:rPr>
        <w:t>DN - номинальный диаметр;</w:t>
      </w:r>
    </w:p>
    <w:p>
      <w:pPr>
        <w:spacing w:after="0"/>
        <w:ind w:left="0"/>
        <w:jc w:val="both"/>
      </w:pPr>
      <w:r>
        <w:rPr>
          <w:rFonts w:ascii="Times New Roman"/>
          <w:b w:val="false"/>
          <w:i w:val="false"/>
          <w:color w:val="000000"/>
          <w:sz w:val="28"/>
        </w:rPr>
        <w:t>PN - номинальное давление;</w:t>
      </w:r>
    </w:p>
    <w:p>
      <w:pPr>
        <w:spacing w:after="0"/>
        <w:ind w:left="0"/>
        <w:jc w:val="both"/>
      </w:pPr>
      <w:r>
        <w:rPr>
          <w:rFonts w:ascii="Times New Roman"/>
          <w:b w:val="false"/>
          <w:i w:val="false"/>
          <w:color w:val="000000"/>
          <w:sz w:val="28"/>
        </w:rPr>
        <w:t>Pp - рабочее давление;</w:t>
      </w:r>
    </w:p>
    <w:p>
      <w:pPr>
        <w:spacing w:after="0"/>
        <w:ind w:left="0"/>
        <w:jc w:val="both"/>
      </w:pPr>
      <w:r>
        <w:rPr>
          <w:rFonts w:ascii="Times New Roman"/>
          <w:b w:val="false"/>
          <w:i w:val="false"/>
          <w:color w:val="000000"/>
          <w:sz w:val="28"/>
        </w:rPr>
        <w:t>Мпа - мегапаскаль;</w:t>
      </w:r>
    </w:p>
    <w:p>
      <w:pPr>
        <w:spacing w:after="0"/>
        <w:ind w:left="0"/>
        <w:jc w:val="both"/>
      </w:pPr>
      <w:r>
        <w:rPr>
          <w:rFonts w:ascii="Times New Roman"/>
          <w:b w:val="false"/>
          <w:i w:val="false"/>
          <w:color w:val="000000"/>
          <w:sz w:val="28"/>
        </w:rPr>
        <w:t>кгс/см</w:t>
      </w:r>
      <w:r>
        <w:rPr>
          <w:rFonts w:ascii="Times New Roman"/>
          <w:b w:val="false"/>
          <w:i w:val="false"/>
          <w:color w:val="000000"/>
          <w:vertAlign w:val="superscript"/>
        </w:rPr>
        <w:t>2</w:t>
      </w:r>
      <w:r>
        <w:rPr>
          <w:rFonts w:ascii="Times New Roman"/>
          <w:b w:val="false"/>
          <w:i w:val="false"/>
          <w:color w:val="000000"/>
          <w:sz w:val="28"/>
        </w:rPr>
        <w:t>- килограмм на квадратный сантиметр;</w:t>
      </w:r>
    </w:p>
    <w:p>
      <w:pPr>
        <w:spacing w:after="0"/>
        <w:ind w:left="0"/>
        <w:jc w:val="both"/>
      </w:pPr>
      <w:r>
        <w:rPr>
          <w:rFonts w:ascii="Times New Roman"/>
          <w:b w:val="false"/>
          <w:i w:val="false"/>
          <w:color w:val="000000"/>
          <w:sz w:val="28"/>
        </w:rPr>
        <w:t>л - литр;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3</w:t>
      </w:r>
      <w:r>
        <w:rPr>
          <w:rFonts w:ascii="Times New Roman"/>
          <w:b w:val="false"/>
          <w:i w:val="false"/>
          <w:color w:val="000000"/>
          <w:sz w:val="28"/>
        </w:rPr>
        <w:t xml:space="preserve"> - кубический метр;</w:t>
      </w:r>
    </w:p>
    <w:p>
      <w:pPr>
        <w:spacing w:after="0"/>
        <w:ind w:left="0"/>
        <w:jc w:val="both"/>
      </w:pPr>
      <w:r>
        <w:rPr>
          <w:rFonts w:ascii="Times New Roman"/>
          <w:b w:val="false"/>
          <w:i w:val="false"/>
          <w:color w:val="000000"/>
          <w:sz w:val="28"/>
        </w:rPr>
        <w:t>м</w:t>
      </w:r>
      <w:r>
        <w:rPr>
          <w:rFonts w:ascii="Times New Roman"/>
          <w:b w:val="false"/>
          <w:i w:val="false"/>
          <w:color w:val="000000"/>
          <w:vertAlign w:val="superscript"/>
        </w:rPr>
        <w:t>2</w:t>
      </w:r>
      <w:r>
        <w:rPr>
          <w:rFonts w:ascii="Times New Roman"/>
          <w:b w:val="false"/>
          <w:i w:val="false"/>
          <w:color w:val="000000"/>
          <w:sz w:val="28"/>
        </w:rPr>
        <w:t xml:space="preserve"> -квадратный метр;</w:t>
      </w:r>
    </w:p>
    <w:p>
      <w:pPr>
        <w:spacing w:after="0"/>
        <w:ind w:left="0"/>
        <w:jc w:val="both"/>
      </w:pPr>
      <w:r>
        <w:rPr>
          <w:rFonts w:ascii="Times New Roman"/>
          <w:b w:val="false"/>
          <w:i w:val="false"/>
          <w:color w:val="000000"/>
          <w:sz w:val="28"/>
        </w:rPr>
        <w:t>м3/ч- кубический метр в час;</w:t>
      </w:r>
    </w:p>
    <w:p>
      <w:pPr>
        <w:spacing w:after="0"/>
        <w:ind w:left="0"/>
        <w:jc w:val="both"/>
      </w:pPr>
      <w:r>
        <w:rPr>
          <w:rFonts w:ascii="Times New Roman"/>
          <w:b w:val="false"/>
          <w:i w:val="false"/>
          <w:color w:val="000000"/>
          <w:sz w:val="28"/>
        </w:rPr>
        <w:t>кВт - киловатт-час;</w:t>
      </w:r>
    </w:p>
    <w:p>
      <w:pPr>
        <w:spacing w:after="0"/>
        <w:ind w:left="0"/>
        <w:jc w:val="both"/>
      </w:pPr>
      <w:r>
        <w:rPr>
          <w:rFonts w:ascii="Times New Roman"/>
          <w:b w:val="false"/>
          <w:i w:val="false"/>
          <w:color w:val="000000"/>
          <w:sz w:val="28"/>
        </w:rPr>
        <w:t>т/ч - метрическая единица измерения массовой скорости потока;</w:t>
      </w:r>
    </w:p>
    <w:p>
      <w:pPr>
        <w:spacing w:after="0"/>
        <w:ind w:left="0"/>
        <w:jc w:val="both"/>
      </w:pPr>
      <w:r>
        <w:rPr>
          <w:rFonts w:ascii="Times New Roman"/>
          <w:b w:val="false"/>
          <w:i w:val="false"/>
          <w:color w:val="000000"/>
          <w:sz w:val="28"/>
        </w:rPr>
        <w:t>МДж/кг - мегаджоуль;</w:t>
      </w:r>
    </w:p>
    <w:p>
      <w:pPr>
        <w:spacing w:after="0"/>
        <w:ind w:left="0"/>
        <w:jc w:val="both"/>
      </w:pPr>
      <w:r>
        <w:rPr>
          <w:rFonts w:ascii="Times New Roman"/>
          <w:b w:val="false"/>
          <w:i w:val="false"/>
          <w:color w:val="000000"/>
          <w:sz w:val="28"/>
        </w:rPr>
        <w:t>ккал/кг - теплота сгорания;</w:t>
      </w:r>
    </w:p>
    <w:p>
      <w:pPr>
        <w:spacing w:after="0"/>
        <w:ind w:left="0"/>
        <w:jc w:val="both"/>
      </w:pPr>
      <w:r>
        <w:rPr>
          <w:rFonts w:ascii="Times New Roman"/>
          <w:b w:val="false"/>
          <w:i w:val="false"/>
          <w:color w:val="000000"/>
          <w:sz w:val="28"/>
        </w:rPr>
        <w:t>рН – водородный показатель</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2-1</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2517" w:id="172"/>
    <w:p>
      <w:pPr>
        <w:spacing w:after="0"/>
        <w:ind w:left="0"/>
        <w:jc w:val="left"/>
      </w:pPr>
      <w:r>
        <w:rPr>
          <w:rFonts w:ascii="Times New Roman"/>
          <w:b/>
          <w:i w:val="false"/>
          <w:color w:val="000000"/>
        </w:rPr>
        <w:t xml:space="preserve"> Проверочный лист в области технического регулирования в отношении изготовителя государственных символов Республики Казахстан</w:t>
      </w:r>
    </w:p>
    <w:bookmarkEnd w:id="172"/>
    <w:p>
      <w:pPr>
        <w:spacing w:after="0"/>
        <w:ind w:left="0"/>
        <w:jc w:val="both"/>
      </w:pPr>
      <w:bookmarkStart w:name="z2518" w:id="173"/>
      <w:r>
        <w:rPr>
          <w:rFonts w:ascii="Times New Roman"/>
          <w:b w:val="false"/>
          <w:i w:val="false"/>
          <w:color w:val="000000"/>
          <w:sz w:val="28"/>
        </w:rPr>
        <w:t>
      Государственный орган, назначивший проверку</w:t>
      </w:r>
    </w:p>
    <w:bookmarkEnd w:id="173"/>
    <w:p>
      <w:pPr>
        <w:spacing w:after="0"/>
        <w:ind w:left="0"/>
        <w:jc w:val="both"/>
      </w:pPr>
      <w:r>
        <w:rPr>
          <w:rFonts w:ascii="Times New Roman"/>
          <w:b w:val="false"/>
          <w:i w:val="false"/>
          <w:color w:val="000000"/>
          <w:sz w:val="28"/>
        </w:rPr>
        <w:t>_______________ ____________________________</w:t>
      </w:r>
    </w:p>
    <w:p>
      <w:pPr>
        <w:spacing w:after="0"/>
        <w:ind w:left="0"/>
        <w:jc w:val="both"/>
      </w:pPr>
      <w:r>
        <w:rPr>
          <w:rFonts w:ascii="Times New Roman"/>
          <w:b w:val="false"/>
          <w:i w:val="false"/>
          <w:color w:val="000000"/>
          <w:sz w:val="28"/>
        </w:rPr>
        <w:t>Акт о назначении проверки №, дата</w:t>
      </w:r>
    </w:p>
    <w:p>
      <w:pPr>
        <w:spacing w:after="0"/>
        <w:ind w:left="0"/>
        <w:jc w:val="both"/>
      </w:pPr>
      <w:r>
        <w:rPr>
          <w:rFonts w:ascii="Times New Roman"/>
          <w:b w:val="false"/>
          <w:i w:val="false"/>
          <w:color w:val="000000"/>
          <w:sz w:val="28"/>
        </w:rPr>
        <w:t>_______________ ____________________________</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 ____________________________</w:t>
      </w:r>
    </w:p>
    <w:p>
      <w:pPr>
        <w:spacing w:after="0"/>
        <w:ind w:left="0"/>
        <w:jc w:val="both"/>
      </w:pPr>
      <w:r>
        <w:rPr>
          <w:rFonts w:ascii="Times New Roman"/>
          <w:b w:val="false"/>
          <w:i w:val="false"/>
          <w:color w:val="000000"/>
          <w:sz w:val="28"/>
        </w:rPr>
        <w:t>Адрес место нахождения_____________________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лицензии на изготовление Государственного Флага и</w:t>
            </w:r>
          </w:p>
          <w:p>
            <w:pPr>
              <w:spacing w:after="20"/>
              <w:ind w:left="20"/>
              <w:jc w:val="both"/>
            </w:pPr>
            <w:r>
              <w:rPr>
                <w:rFonts w:ascii="Times New Roman"/>
                <w:b w:val="false"/>
                <w:i w:val="false"/>
                <w:color w:val="000000"/>
                <w:sz w:val="20"/>
              </w:rPr>
              <w:t>
Государственного Герба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производственной технической базы (технологического оборудования, средств измерений и контроля, в том числе атласа цветов, обеспечивающих соблюдение технологического процесса и качества изготовленных государственных символов)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мастер модели каждого производимого типоразмера Государственного Герба Республики Казахстан с приложением положительного результата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производственного эталонного образца каждого производимого типоразмера Государственного Герба Республики Казахстан с приложением положительного результата испытания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происхождении товара формы СТ-KZ на выпускаемую продукцию "Государственный Флаг Республики Казахстан" и "Государственный Герб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0" w:id="174"/>
      <w:r>
        <w:rPr>
          <w:rFonts w:ascii="Times New Roman"/>
          <w:b w:val="false"/>
          <w:i w:val="false"/>
          <w:color w:val="000000"/>
          <w:sz w:val="28"/>
        </w:rPr>
        <w:t>
      Должностное (ые) лицо (а)</w:t>
      </w:r>
    </w:p>
    <w:bookmarkEnd w:id="174"/>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 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2523" w:id="175"/>
    <w:p>
      <w:pPr>
        <w:spacing w:after="0"/>
        <w:ind w:left="0"/>
        <w:jc w:val="left"/>
      </w:pPr>
      <w:r>
        <w:rPr>
          <w:rFonts w:ascii="Times New Roman"/>
          <w:b/>
          <w:i w:val="false"/>
          <w:color w:val="000000"/>
        </w:rPr>
        <w:t xml:space="preserve"> Проверочный лист в области технического регулирования в отношении органа по подтверждению соответствия и испытательной лаборатории (центра)</w:t>
      </w:r>
    </w:p>
    <w:bookmarkEnd w:id="175"/>
    <w:p>
      <w:pPr>
        <w:spacing w:after="0"/>
        <w:ind w:left="0"/>
        <w:jc w:val="both"/>
      </w:pPr>
      <w:bookmarkStart w:name="z2524" w:id="176"/>
      <w:r>
        <w:rPr>
          <w:rFonts w:ascii="Times New Roman"/>
          <w:b w:val="false"/>
          <w:i w:val="false"/>
          <w:color w:val="000000"/>
          <w:sz w:val="28"/>
        </w:rPr>
        <w:t>
      Государственный орган, назначивший проверку/</w:t>
      </w:r>
    </w:p>
    <w:bookmarkEnd w:id="176"/>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Наименование субъекта (объекта) контроля 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места нахождения_________________________________________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обеспечения рассмотрения органом по подтверждению соответствия заявки с прилагаемыми документами и принятие по ней решения, в том числе утверждение схемы сертификации продукции, на основании выбранной заявителем схемы сертификации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договора на проведение работ по сертификации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обеспечения идентификации, отбора образцов и их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процедуры оценки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проведения анализа состояния производства (если это предусмотрено схемой сертификации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проведения анализа полученных результатов и принятие решения о выдаче (об отказе в выдаче) сертификата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регистрации сертификата соответствия в реестре технического регулирования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формирования и выдачи сертификата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осуществления периодической оценки за сертифицированной продукцией (если это предусмотрено схемой сертификации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декларации о соответствии в реестре технического регулирования посредством информационной системы технического регулирования, либо уведомление заявителя об отказе в ее регистрации (с указанием причин отказа) в срок, не превышающий 5 (пять) рабочих дней со дня получения декларации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декларации о соответствии на срок, установленный предприятием-изготовителем (исполнителем) продукции, исходя из планируемого срока выпуска данной продукции, но не более чем на 1 (один) год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декларации о соответствии и материалов, используемых в качестве доказательств для подтверждения соответствия в информационной системе технического регулирования на постоянной основе в течение 3 (трех) лет со дня окончания ее срока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в реестр технического регулирования БИН, наименования и адреса заявителя, принявшего декларацию о соответствии, регистрационного номера декларации о соответствии и вида продукции, соответствие которой подтверждено и срока действия декларации о соответствии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приложения к декларации о соответствии, содержащее перечень продукции, на которую распространяется ее действие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испытаний объектов для целей обязательного или добровольного подтверждения соответствия в пределах своей области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достоверности результатов испытаний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оформления и выдачи результатов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материалов фото- и (или) видеофиксации испытаний, результатов исследований (испытаний) и измерений продукции, если это предусмотрено техническим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сохраненных контрольных образцов исследованной (испытанной)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испытаний в сроки, предусмотренные техническими регламентами и (или) документами по стандартизации, на методы испытаний данного объекта и согласованные с органом по подтверждению соответствия.</w:t>
            </w:r>
          </w:p>
          <w:p>
            <w:pPr>
              <w:spacing w:after="20"/>
              <w:ind w:left="20"/>
              <w:jc w:val="both"/>
            </w:pPr>
            <w:r>
              <w:rPr>
                <w:rFonts w:ascii="Times New Roman"/>
                <w:b w:val="false"/>
                <w:i w:val="false"/>
                <w:color w:val="000000"/>
                <w:sz w:val="20"/>
              </w:rPr>
              <w:t>
В случае если сроки испытаний не предусмотрены в технических регламентах и (или) документах по стандартизации, то не допускается превышение 30 (тридцати) календарных дней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органа по подтверждению соответствия на праве собственности или ином законном основании и использование лаборатории, обеспечивающей испытания объектов технического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 лаборатории на праве собственности или на ином законном основании и использование лабораторного оборудования, объем (перечень) которого в отдельных отраслях устанавливается уполномоченным органом в области технического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26" w:id="177"/>
      <w:r>
        <w:rPr>
          <w:rFonts w:ascii="Times New Roman"/>
          <w:b w:val="false"/>
          <w:i w:val="false"/>
          <w:color w:val="000000"/>
          <w:sz w:val="28"/>
        </w:rPr>
        <w:t>
      Должностное (ые) лицо (а)</w:t>
      </w:r>
    </w:p>
    <w:bookmarkEnd w:id="177"/>
    <w:p>
      <w:pPr>
        <w:spacing w:after="0"/>
        <w:ind w:left="0"/>
        <w:jc w:val="both"/>
      </w:pPr>
      <w:r>
        <w:rPr>
          <w:rFonts w:ascii="Times New Roman"/>
          <w:b w:val="false"/>
          <w:i w:val="false"/>
          <w:color w:val="000000"/>
          <w:sz w:val="28"/>
        </w:rPr>
        <w:t>______________________________________________________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 подпись</w:t>
      </w:r>
    </w:p>
    <w:p>
      <w:pPr>
        <w:spacing w:after="0"/>
        <w:ind w:left="0"/>
        <w:jc w:val="both"/>
      </w:pPr>
      <w:r>
        <w:rPr>
          <w:rFonts w:ascii="Times New Roman"/>
          <w:b w:val="false"/>
          <w:i w:val="false"/>
          <w:color w:val="000000"/>
          <w:sz w:val="28"/>
        </w:rPr>
        <w:t>______________ _______________________________________</w:t>
      </w:r>
    </w:p>
    <w:p>
      <w:pPr>
        <w:spacing w:after="0"/>
        <w:ind w:left="0"/>
        <w:jc w:val="both"/>
      </w:pPr>
      <w:r>
        <w:rPr>
          <w:rFonts w:ascii="Times New Roman"/>
          <w:b w:val="false"/>
          <w:i w:val="false"/>
          <w:color w:val="000000"/>
          <w:sz w:val="28"/>
        </w:rPr>
        <w:t>должность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8</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совместному приказу</w:t>
            </w:r>
            <w:r>
              <w:br/>
            </w:r>
            <w:r>
              <w:rPr>
                <w:rFonts w:ascii="Times New Roman"/>
                <w:b w:val="false"/>
                <w:i w:val="false"/>
                <w:color w:val="000000"/>
                <w:sz w:val="20"/>
              </w:rPr>
              <w:t>исполняющего обязанности</w:t>
            </w:r>
            <w:r>
              <w:br/>
            </w:r>
            <w:r>
              <w:rPr>
                <w:rFonts w:ascii="Times New Roman"/>
                <w:b w:val="false"/>
                <w:i w:val="false"/>
                <w:color w:val="000000"/>
                <w:sz w:val="20"/>
              </w:rPr>
              <w:t>Министра по инвестициям и развитию</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декабря 2015 года № 1199</w:t>
            </w:r>
            <w:r>
              <w:br/>
            </w:r>
            <w:r>
              <w:rPr>
                <w:rFonts w:ascii="Times New Roman"/>
                <w:b w:val="false"/>
                <w:i w:val="false"/>
                <w:color w:val="000000"/>
                <w:sz w:val="20"/>
              </w:rPr>
              <w:t>и 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29 декабря 2015 года № 826</w:t>
            </w:r>
          </w:p>
        </w:tc>
      </w:tr>
    </w:tbl>
    <w:bookmarkStart w:name="z2529" w:id="178"/>
    <w:p>
      <w:pPr>
        <w:spacing w:after="0"/>
        <w:ind w:left="0"/>
        <w:jc w:val="left"/>
      </w:pPr>
      <w:r>
        <w:rPr>
          <w:rFonts w:ascii="Times New Roman"/>
          <w:b/>
          <w:i w:val="false"/>
          <w:color w:val="000000"/>
        </w:rPr>
        <w:t xml:space="preserve"> Правоограничительные меры оперативного реагирования</w:t>
      </w:r>
    </w:p>
    <w:bookmarkEnd w:id="17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Виды мер оперативного реагирования, применяемые к пунктам нарушений согласно </w:t>
            </w:r>
            <w:r>
              <w:rPr>
                <w:rFonts w:ascii="Times New Roman"/>
                <w:b w:val="false"/>
                <w:i w:val="false"/>
                <w:color w:val="000000"/>
                <w:sz w:val="20"/>
              </w:rPr>
              <w:t>Приложения 5</w:t>
            </w:r>
            <w:r>
              <w:rPr>
                <w:rFonts w:ascii="Times New Roman"/>
                <w:b w:val="false"/>
                <w:i w:val="false"/>
                <w:color w:val="000000"/>
                <w:sz w:val="20"/>
              </w:rPr>
              <w:t xml:space="preserve"> к совместному приказу исполняющего обязанности Министра по инвестициям и развитию Республики Казахстан от 14 декабря 2015 года № 1199 и Министра национальной экономики Республики Казахстан от 29 декабря 2015 года № 826</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подлежит запрету выпуска в обращение при нарушении нижеследующих пунктов</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Продукция подлежит изъятию (несоответствие требованиям технических регламентов которой доказано результатами лабораторных испытаний) при нарушении нижеследующих пунктов</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 29-35, 105-110, 172, 195, 196, 238, 239, 241, 254, 286, 304, 360, 363, 364, 386, 389, 393-399, 401, 460, 461, 468, 557, 569, 570, 638-647, 651, 654, 664, 665</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173, 174, 178-185, 189, 243-245, 247-251, 253, 256, 291, 295, 343, 346, 349, 356, 361, 362, 388-390, 456, 459, 472-474, 550, 558, 559, 560, 562-566, 568, 572, 615, 660-663, 670, 672-677</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9</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24</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139-НҚ</w:t>
            </w:r>
          </w:p>
        </w:tc>
      </w:tr>
    </w:tbl>
    <w:bookmarkStart w:name="z2532" w:id="179"/>
    <w:p>
      <w:pPr>
        <w:spacing w:after="0"/>
        <w:ind w:left="0"/>
        <w:jc w:val="left"/>
      </w:pPr>
      <w:r>
        <w:rPr>
          <w:rFonts w:ascii="Times New Roman"/>
          <w:b/>
          <w:i w:val="false"/>
          <w:color w:val="000000"/>
        </w:rPr>
        <w:t xml:space="preserve"> Критерии оценки степени риска для отбора субъектов (объектов) контроля в области обеспечения единства измерений</w:t>
      </w:r>
    </w:p>
    <w:bookmarkEnd w:id="179"/>
    <w:bookmarkStart w:name="z2533" w:id="180"/>
    <w:p>
      <w:pPr>
        <w:spacing w:after="0"/>
        <w:ind w:left="0"/>
        <w:jc w:val="left"/>
      </w:pPr>
      <w:r>
        <w:rPr>
          <w:rFonts w:ascii="Times New Roman"/>
          <w:b/>
          <w:i w:val="false"/>
          <w:color w:val="000000"/>
        </w:rPr>
        <w:t xml:space="preserve"> Глава 1. Общие положения</w:t>
      </w:r>
    </w:p>
    <w:bookmarkEnd w:id="180"/>
    <w:bookmarkStart w:name="z2534" w:id="181"/>
    <w:p>
      <w:pPr>
        <w:spacing w:after="0"/>
        <w:ind w:left="0"/>
        <w:jc w:val="both"/>
      </w:pPr>
      <w:r>
        <w:rPr>
          <w:rFonts w:ascii="Times New Roman"/>
          <w:b w:val="false"/>
          <w:i w:val="false"/>
          <w:color w:val="000000"/>
          <w:sz w:val="28"/>
        </w:rPr>
        <w:t xml:space="preserve">
      1. Настоящие Критерии оценки степени риска для отбора субъектов (объектов) контроля в области обеспечения единства измерений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w:t>
      </w:r>
    </w:p>
    <w:bookmarkEnd w:id="181"/>
    <w:bookmarkStart w:name="z2535" w:id="182"/>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182"/>
    <w:bookmarkStart w:name="z2536" w:id="183"/>
    <w:p>
      <w:pPr>
        <w:spacing w:after="0"/>
        <w:ind w:left="0"/>
        <w:jc w:val="both"/>
      </w:pPr>
      <w:r>
        <w:rPr>
          <w:rFonts w:ascii="Times New Roman"/>
          <w:b w:val="false"/>
          <w:i w:val="false"/>
          <w:color w:val="000000"/>
          <w:sz w:val="28"/>
        </w:rPr>
        <w:t>
      1) значительные нарушения – нарушения требований законодательства Республики Казахстан в области обеспечения единства измерений, создающие предпосылки на причинение вреда жизни, здоровью человека и затрагивающие законные интересы физических и юридических лиц, государства;</w:t>
      </w:r>
    </w:p>
    <w:bookmarkEnd w:id="183"/>
    <w:bookmarkStart w:name="z2537" w:id="184"/>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в области обеспечения единства измерений, не относящиеся к значительным и грубым нарушениям;</w:t>
      </w:r>
    </w:p>
    <w:bookmarkEnd w:id="184"/>
    <w:bookmarkStart w:name="z2538" w:id="185"/>
    <w:p>
      <w:pPr>
        <w:spacing w:after="0"/>
        <w:ind w:left="0"/>
        <w:jc w:val="both"/>
      </w:pPr>
      <w:r>
        <w:rPr>
          <w:rFonts w:ascii="Times New Roman"/>
          <w:b w:val="false"/>
          <w:i w:val="false"/>
          <w:color w:val="000000"/>
          <w:sz w:val="28"/>
        </w:rPr>
        <w:t>
      3) субъекты контроля в области обеспечения единства измерений – физические или юридические лица, осуществляющие деятельность, связанную с обеспечением единства измерений на территории Республики Казахстан;</w:t>
      </w:r>
    </w:p>
    <w:bookmarkEnd w:id="185"/>
    <w:bookmarkStart w:name="z2539" w:id="186"/>
    <w:p>
      <w:pPr>
        <w:spacing w:after="0"/>
        <w:ind w:left="0"/>
        <w:jc w:val="both"/>
      </w:pPr>
      <w:r>
        <w:rPr>
          <w:rFonts w:ascii="Times New Roman"/>
          <w:b w:val="false"/>
          <w:i w:val="false"/>
          <w:color w:val="000000"/>
          <w:sz w:val="28"/>
        </w:rPr>
        <w:t>
      4) риск в области обеспечения единства измерений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186"/>
    <w:bookmarkStart w:name="z2540" w:id="187"/>
    <w:p>
      <w:pPr>
        <w:spacing w:after="0"/>
        <w:ind w:left="0"/>
        <w:jc w:val="both"/>
      </w:pPr>
      <w:r>
        <w:rPr>
          <w:rFonts w:ascii="Times New Roman"/>
          <w:b w:val="false"/>
          <w:i w:val="false"/>
          <w:color w:val="000000"/>
          <w:sz w:val="28"/>
        </w:rPr>
        <w:t>
      5) грубые нарушения – нарушения требований законодательства Республики Казахстан в области обеспечения единства измерений, влекущие непосредственное причинение вреда жизни, здоровью человека и затрагивающие законные интересы физических и юридических лиц, государства;</w:t>
      </w:r>
    </w:p>
    <w:bookmarkEnd w:id="187"/>
    <w:bookmarkStart w:name="z2541" w:id="188"/>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188"/>
    <w:bookmarkStart w:name="z2542" w:id="189"/>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сфере обеспечения единства измерений и не зависящие непосредственно от отдельного субъекта (объекта) контроля;</w:t>
      </w:r>
    </w:p>
    <w:bookmarkEnd w:id="189"/>
    <w:bookmarkStart w:name="z2543" w:id="190"/>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190"/>
    <w:bookmarkStart w:name="z2544" w:id="191"/>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соответствующих сферах деятельности,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191"/>
    <w:bookmarkStart w:name="z2545" w:id="192"/>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192"/>
    <w:bookmarkStart w:name="z2546" w:id="193"/>
    <w:p>
      <w:pPr>
        <w:spacing w:after="0"/>
        <w:ind w:left="0"/>
        <w:jc w:val="both"/>
      </w:pPr>
      <w:r>
        <w:rPr>
          <w:rFonts w:ascii="Times New Roman"/>
          <w:b w:val="false"/>
          <w:i w:val="false"/>
          <w:color w:val="000000"/>
          <w:sz w:val="28"/>
        </w:rPr>
        <w:t>
      3. Критерии оценки степени риска в области обеспечения единства измерений для профилактического контроля с посещением субъекта (объекта) контроля формируются посредством объективных и субъективных критериев.</w:t>
      </w:r>
    </w:p>
    <w:bookmarkEnd w:id="193"/>
    <w:bookmarkStart w:name="z2547" w:id="194"/>
    <w:p>
      <w:pPr>
        <w:spacing w:after="0"/>
        <w:ind w:left="0"/>
        <w:jc w:val="left"/>
      </w:pPr>
      <w:r>
        <w:rPr>
          <w:rFonts w:ascii="Times New Roman"/>
          <w:b/>
          <w:i w:val="false"/>
          <w:color w:val="000000"/>
        </w:rPr>
        <w:t xml:space="preserve"> Глава 2. Объективные критерии</w:t>
      </w:r>
    </w:p>
    <w:bookmarkEnd w:id="194"/>
    <w:bookmarkStart w:name="z2548" w:id="195"/>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w:t>
      </w:r>
    </w:p>
    <w:bookmarkEnd w:id="195"/>
    <w:bookmarkStart w:name="z2549" w:id="196"/>
    <w:p>
      <w:pPr>
        <w:spacing w:after="0"/>
        <w:ind w:left="0"/>
        <w:jc w:val="both"/>
      </w:pPr>
      <w:r>
        <w:rPr>
          <w:rFonts w:ascii="Times New Roman"/>
          <w:b w:val="false"/>
          <w:i w:val="false"/>
          <w:color w:val="000000"/>
          <w:sz w:val="28"/>
        </w:rPr>
        <w:t>
      5. Определение риска осуществляется в зависимости от специфики сферы, в которой осуществляется государственный контроль с учетом одного из следующих критериев:</w:t>
      </w:r>
    </w:p>
    <w:bookmarkEnd w:id="196"/>
    <w:bookmarkStart w:name="z2550" w:id="197"/>
    <w:p>
      <w:pPr>
        <w:spacing w:after="0"/>
        <w:ind w:left="0"/>
        <w:jc w:val="both"/>
      </w:pPr>
      <w:r>
        <w:rPr>
          <w:rFonts w:ascii="Times New Roman"/>
          <w:b w:val="false"/>
          <w:i w:val="false"/>
          <w:color w:val="000000"/>
          <w:sz w:val="28"/>
        </w:rPr>
        <w:t>
      1) уровня опасности (сложности) объекта;</w:t>
      </w:r>
    </w:p>
    <w:bookmarkEnd w:id="197"/>
    <w:bookmarkStart w:name="z2551" w:id="198"/>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198"/>
    <w:bookmarkStart w:name="z2552" w:id="199"/>
    <w:p>
      <w:pPr>
        <w:spacing w:after="0"/>
        <w:ind w:left="0"/>
        <w:jc w:val="both"/>
      </w:pPr>
      <w:r>
        <w:rPr>
          <w:rFonts w:ascii="Times New Roman"/>
          <w:b w:val="false"/>
          <w:i w:val="false"/>
          <w:color w:val="000000"/>
          <w:sz w:val="28"/>
        </w:rPr>
        <w:t>
      3) возможности наступления неблагоприятного происшествия для законных интересов физических и юридических лиц, государства.</w:t>
      </w:r>
    </w:p>
    <w:bookmarkEnd w:id="199"/>
    <w:bookmarkStart w:name="z2553" w:id="200"/>
    <w:p>
      <w:pPr>
        <w:spacing w:after="0"/>
        <w:ind w:left="0"/>
        <w:jc w:val="both"/>
      </w:pPr>
      <w:r>
        <w:rPr>
          <w:rFonts w:ascii="Times New Roman"/>
          <w:b w:val="false"/>
          <w:i w:val="false"/>
          <w:color w:val="000000"/>
          <w:sz w:val="28"/>
        </w:rPr>
        <w:t>
      6. После проведения анализа всех возможных рисков субъекты (объекты) контроля распределяются по трем степеням риска (высокая, средняя и низкая).</w:t>
      </w:r>
    </w:p>
    <w:bookmarkEnd w:id="200"/>
    <w:bookmarkStart w:name="z2554" w:id="201"/>
    <w:p>
      <w:pPr>
        <w:spacing w:after="0"/>
        <w:ind w:left="0"/>
        <w:jc w:val="both"/>
      </w:pPr>
      <w:r>
        <w:rPr>
          <w:rFonts w:ascii="Times New Roman"/>
          <w:b w:val="false"/>
          <w:i w:val="false"/>
          <w:color w:val="000000"/>
          <w:sz w:val="28"/>
        </w:rPr>
        <w:t>
      В области обеспечения единства измерений к высокой степени риска по объективным критериям относятся субъекты (объекты) контроля осуществляющие виды деятельности, связанные с применением средств измерений, методик выполнения измерений, установленных перечнями измерений, относящихся к государственному регулированию и нормативными правовыми актами.</w:t>
      </w:r>
    </w:p>
    <w:bookmarkEnd w:id="201"/>
    <w:bookmarkStart w:name="z2555" w:id="202"/>
    <w:p>
      <w:pPr>
        <w:spacing w:after="0"/>
        <w:ind w:left="0"/>
        <w:jc w:val="both"/>
      </w:pPr>
      <w:r>
        <w:rPr>
          <w:rFonts w:ascii="Times New Roman"/>
          <w:b w:val="false"/>
          <w:i w:val="false"/>
          <w:color w:val="000000"/>
          <w:sz w:val="28"/>
        </w:rPr>
        <w:t>
      К средней степени риска – субъекты (объекты) контроля связанные с деятельностью с установлением соответствия количества фасованной изготовителем или продавцом продукции в упаковках любого вида, а также расфасованной продукции при ее реализации и продукции, отчуждаемой при совершении торговых операций.</w:t>
      </w:r>
    </w:p>
    <w:bookmarkEnd w:id="202"/>
    <w:bookmarkStart w:name="z2556" w:id="203"/>
    <w:p>
      <w:pPr>
        <w:spacing w:after="0"/>
        <w:ind w:left="0"/>
        <w:jc w:val="both"/>
      </w:pPr>
      <w:r>
        <w:rPr>
          <w:rFonts w:ascii="Times New Roman"/>
          <w:b w:val="false"/>
          <w:i w:val="false"/>
          <w:color w:val="000000"/>
          <w:sz w:val="28"/>
        </w:rPr>
        <w:t>
      К низкой степени риска – субъекты осуществляющие производство стандартных образцов, аттестованных смесей, поверочных газовых смесей.</w:t>
      </w:r>
    </w:p>
    <w:bookmarkEnd w:id="203"/>
    <w:bookmarkStart w:name="z2557" w:id="204"/>
    <w:p>
      <w:pPr>
        <w:spacing w:after="0"/>
        <w:ind w:left="0"/>
        <w:jc w:val="both"/>
      </w:pPr>
      <w:r>
        <w:rPr>
          <w:rFonts w:ascii="Times New Roman"/>
          <w:b w:val="false"/>
          <w:i w:val="false"/>
          <w:color w:val="000000"/>
          <w:sz w:val="28"/>
        </w:rPr>
        <w:t>
      7. В отношении субъектов (объектов) контроля, отнесенных к высокой или средней степени риска,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04"/>
    <w:bookmarkStart w:name="z2558" w:id="205"/>
    <w:p>
      <w:pPr>
        <w:spacing w:after="0"/>
        <w:ind w:left="0"/>
        <w:jc w:val="both"/>
      </w:pPr>
      <w:r>
        <w:rPr>
          <w:rFonts w:ascii="Times New Roman"/>
          <w:b w:val="false"/>
          <w:i w:val="false"/>
          <w:color w:val="000000"/>
          <w:sz w:val="28"/>
        </w:rPr>
        <w:t>
      В отношении субъектов (объектов) контроля, отнесенных к низкой степени риска, проводятся профилактический контроль без посещения субъекта (объекта) контроля и внеплановая проверка.</w:t>
      </w:r>
    </w:p>
    <w:bookmarkEnd w:id="205"/>
    <w:bookmarkStart w:name="z2559" w:id="206"/>
    <w:p>
      <w:pPr>
        <w:spacing w:after="0"/>
        <w:ind w:left="0"/>
        <w:jc w:val="left"/>
      </w:pPr>
      <w:r>
        <w:rPr>
          <w:rFonts w:ascii="Times New Roman"/>
          <w:b/>
          <w:i w:val="false"/>
          <w:color w:val="000000"/>
        </w:rPr>
        <w:t xml:space="preserve"> Глава 3. Субъективные критерии</w:t>
      </w:r>
    </w:p>
    <w:bookmarkEnd w:id="206"/>
    <w:bookmarkStart w:name="z2560" w:id="207"/>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207"/>
    <w:bookmarkStart w:name="z2561" w:id="208"/>
    <w:p>
      <w:pPr>
        <w:spacing w:after="0"/>
        <w:ind w:left="0"/>
        <w:jc w:val="both"/>
      </w:pPr>
      <w:r>
        <w:rPr>
          <w:rFonts w:ascii="Times New Roman"/>
          <w:b w:val="false"/>
          <w:i w:val="false"/>
          <w:color w:val="000000"/>
          <w:sz w:val="28"/>
        </w:rPr>
        <w:t>
      1) анализ информации и оценка рисков;</w:t>
      </w:r>
    </w:p>
    <w:bookmarkEnd w:id="208"/>
    <w:bookmarkStart w:name="z2562" w:id="209"/>
    <w:p>
      <w:pPr>
        <w:spacing w:after="0"/>
        <w:ind w:left="0"/>
        <w:jc w:val="both"/>
      </w:pPr>
      <w:r>
        <w:rPr>
          <w:rFonts w:ascii="Times New Roman"/>
          <w:b w:val="false"/>
          <w:i w:val="false"/>
          <w:color w:val="000000"/>
          <w:sz w:val="28"/>
        </w:rPr>
        <w:t>
      2) формирование базы данных и сбор информации.</w:t>
      </w:r>
    </w:p>
    <w:bookmarkEnd w:id="209"/>
    <w:bookmarkStart w:name="z2563" w:id="210"/>
    <w:p>
      <w:pPr>
        <w:spacing w:after="0"/>
        <w:ind w:left="0"/>
        <w:jc w:val="both"/>
      </w:pPr>
      <w:r>
        <w:rPr>
          <w:rFonts w:ascii="Times New Roman"/>
          <w:b w:val="false"/>
          <w:i w:val="false"/>
          <w:color w:val="000000"/>
          <w:sz w:val="28"/>
        </w:rPr>
        <w:t>
      9. Для оценки степени риска используются следующие источники информации:</w:t>
      </w:r>
    </w:p>
    <w:bookmarkEnd w:id="210"/>
    <w:bookmarkStart w:name="z2564" w:id="211"/>
    <w:p>
      <w:pPr>
        <w:spacing w:after="0"/>
        <w:ind w:left="0"/>
        <w:jc w:val="both"/>
      </w:pPr>
      <w:r>
        <w:rPr>
          <w:rFonts w:ascii="Times New Roman"/>
          <w:b w:val="false"/>
          <w:i w:val="false"/>
          <w:color w:val="000000"/>
          <w:sz w:val="28"/>
        </w:rPr>
        <w:t>
      1)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w:t>
      </w:r>
    </w:p>
    <w:bookmarkEnd w:id="211"/>
    <w:bookmarkStart w:name="z2565" w:id="212"/>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212"/>
    <w:bookmarkStart w:name="z2566" w:id="213"/>
    <w:p>
      <w:pPr>
        <w:spacing w:after="0"/>
        <w:ind w:left="0"/>
        <w:jc w:val="both"/>
      </w:pPr>
      <w:r>
        <w:rPr>
          <w:rFonts w:ascii="Times New Roman"/>
          <w:b w:val="false"/>
          <w:i w:val="false"/>
          <w:color w:val="000000"/>
          <w:sz w:val="28"/>
        </w:rPr>
        <w:t>
      3) анализ официальных интернет-ресурсов государственных органов, средств массовой информации;</w:t>
      </w:r>
    </w:p>
    <w:bookmarkEnd w:id="213"/>
    <w:bookmarkStart w:name="z2567" w:id="214"/>
    <w:p>
      <w:pPr>
        <w:spacing w:after="0"/>
        <w:ind w:left="0"/>
        <w:jc w:val="both"/>
      </w:pPr>
      <w:r>
        <w:rPr>
          <w:rFonts w:ascii="Times New Roman"/>
          <w:b w:val="false"/>
          <w:i w:val="false"/>
          <w:color w:val="000000"/>
          <w:sz w:val="28"/>
        </w:rPr>
        <w:t>
      4) результаты анализа сведений, представляемых государственными органами и организациями;</w:t>
      </w:r>
    </w:p>
    <w:bookmarkEnd w:id="214"/>
    <w:bookmarkStart w:name="z2568" w:id="215"/>
    <w:p>
      <w:pPr>
        <w:spacing w:after="0"/>
        <w:ind w:left="0"/>
        <w:jc w:val="both"/>
      </w:pPr>
      <w:r>
        <w:rPr>
          <w:rFonts w:ascii="Times New Roman"/>
          <w:b w:val="false"/>
          <w:i w:val="false"/>
          <w:color w:val="000000"/>
          <w:sz w:val="28"/>
        </w:rPr>
        <w:t>
      5) результаты мониторинга отчетности и сведений, представляемых субъектом контроля;</w:t>
      </w:r>
    </w:p>
    <w:bookmarkEnd w:id="215"/>
    <w:bookmarkStart w:name="z2569" w:id="216"/>
    <w:p>
      <w:pPr>
        <w:spacing w:after="0"/>
        <w:ind w:left="0"/>
        <w:jc w:val="both"/>
      </w:pPr>
      <w:r>
        <w:rPr>
          <w:rFonts w:ascii="Times New Roman"/>
          <w:b w:val="false"/>
          <w:i w:val="false"/>
          <w:color w:val="000000"/>
          <w:sz w:val="28"/>
        </w:rPr>
        <w:t>
      6) наличие и количество подтвержденных жалоб и обращений.</w:t>
      </w:r>
    </w:p>
    <w:bookmarkEnd w:id="216"/>
    <w:bookmarkStart w:name="z2570" w:id="217"/>
    <w:p>
      <w:pPr>
        <w:spacing w:after="0"/>
        <w:ind w:left="0"/>
        <w:jc w:val="both"/>
      </w:pPr>
      <w:r>
        <w:rPr>
          <w:rFonts w:ascii="Times New Roman"/>
          <w:b w:val="false"/>
          <w:i w:val="false"/>
          <w:color w:val="000000"/>
          <w:sz w:val="28"/>
        </w:rPr>
        <w:t>
      На основании имеющихся источников информации, орган государственного контроля в сфере обеспечения единства измерений формирует субъективные критерии, подлежащие оценке.</w:t>
      </w:r>
    </w:p>
    <w:bookmarkEnd w:id="217"/>
    <w:bookmarkStart w:name="z2571" w:id="218"/>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профилактический контроль субъекта (объекта) контроля в отношении субъекта (объекта) контроля с наибольшим потенциальным риском.</w:t>
      </w:r>
    </w:p>
    <w:bookmarkEnd w:id="218"/>
    <w:bookmarkStart w:name="z2572" w:id="219"/>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219"/>
    <w:bookmarkStart w:name="z2573" w:id="220"/>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220"/>
    <w:bookmarkStart w:name="z2574" w:id="221"/>
    <w:p>
      <w:pPr>
        <w:spacing w:after="0"/>
        <w:ind w:left="0"/>
        <w:jc w:val="both"/>
      </w:pPr>
      <w:r>
        <w:rPr>
          <w:rFonts w:ascii="Times New Roman"/>
          <w:b w:val="false"/>
          <w:i w:val="false"/>
          <w:color w:val="000000"/>
          <w:sz w:val="28"/>
        </w:rPr>
        <w:t>
      10.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области обеспечения единства измерений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221"/>
    <w:bookmarkStart w:name="z2575" w:id="222"/>
    <w:p>
      <w:pPr>
        <w:spacing w:after="0"/>
        <w:ind w:left="0"/>
        <w:jc w:val="both"/>
      </w:pPr>
      <w:r>
        <w:rPr>
          <w:rFonts w:ascii="Times New Roman"/>
          <w:b w:val="false"/>
          <w:i w:val="false"/>
          <w:color w:val="000000"/>
          <w:sz w:val="28"/>
        </w:rPr>
        <w:t>
      Субъективные критерии определены для субъектов в области обеспечения единства измерений согласно приложению к настоящим Критериям.</w:t>
      </w:r>
    </w:p>
    <w:bookmarkEnd w:id="222"/>
    <w:bookmarkStart w:name="z2576" w:id="223"/>
    <w:p>
      <w:pPr>
        <w:spacing w:after="0"/>
        <w:ind w:left="0"/>
        <w:jc w:val="both"/>
      </w:pPr>
      <w:r>
        <w:rPr>
          <w:rFonts w:ascii="Times New Roman"/>
          <w:b w:val="false"/>
          <w:i w:val="false"/>
          <w:color w:val="000000"/>
          <w:sz w:val="28"/>
        </w:rPr>
        <w:t>
      11.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223"/>
    <w:bookmarkStart w:name="z2577" w:id="224"/>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224"/>
    <w:bookmarkStart w:name="z2578" w:id="225"/>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225"/>
    <w:bookmarkStart w:name="z2579" w:id="226"/>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226"/>
    <w:bookmarkStart w:name="z2580" w:id="227"/>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227"/>
    <w:bookmarkStart w:name="z2581" w:id="228"/>
    <w:p>
      <w:pPr>
        <w:spacing w:after="0"/>
        <w:ind w:left="0"/>
        <w:jc w:val="both"/>
      </w:pPr>
      <w:r>
        <w:rPr>
          <w:rFonts w:ascii="Times New Roman"/>
          <w:b w:val="false"/>
          <w:i w:val="false"/>
          <w:color w:val="000000"/>
          <w:sz w:val="28"/>
        </w:rPr>
        <w:t>
      12.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228"/>
    <w:bookmarkStart w:name="z2582" w:id="229"/>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229"/>
    <w:bookmarkStart w:name="z2583" w:id="230"/>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230"/>
    <w:bookmarkStart w:name="z2584" w:id="231"/>
    <w:p>
      <w:pPr>
        <w:spacing w:after="0"/>
        <w:ind w:left="0"/>
        <w:jc w:val="both"/>
      </w:pPr>
      <w:r>
        <w:rPr>
          <w:rFonts w:ascii="Times New Roman"/>
          <w:b w:val="false"/>
          <w:i w:val="false"/>
          <w:color w:val="000000"/>
          <w:sz w:val="28"/>
        </w:rPr>
        <w:t>
      SРз = (SР2 х 100/SР1) х 0,7,</w:t>
      </w:r>
    </w:p>
    <w:bookmarkEnd w:id="231"/>
    <w:bookmarkStart w:name="z2585" w:id="232"/>
    <w:p>
      <w:pPr>
        <w:spacing w:after="0"/>
        <w:ind w:left="0"/>
        <w:jc w:val="both"/>
      </w:pPr>
      <w:r>
        <w:rPr>
          <w:rFonts w:ascii="Times New Roman"/>
          <w:b w:val="false"/>
          <w:i w:val="false"/>
          <w:color w:val="000000"/>
          <w:sz w:val="28"/>
        </w:rPr>
        <w:t>
      где:</w:t>
      </w:r>
    </w:p>
    <w:bookmarkEnd w:id="232"/>
    <w:bookmarkStart w:name="z2586" w:id="233"/>
    <w:p>
      <w:pPr>
        <w:spacing w:after="0"/>
        <w:ind w:left="0"/>
        <w:jc w:val="both"/>
      </w:pPr>
      <w:r>
        <w:rPr>
          <w:rFonts w:ascii="Times New Roman"/>
          <w:b w:val="false"/>
          <w:i w:val="false"/>
          <w:color w:val="000000"/>
          <w:sz w:val="28"/>
        </w:rPr>
        <w:t>
      SРз – показатель значительных нарушений;</w:t>
      </w:r>
    </w:p>
    <w:bookmarkEnd w:id="233"/>
    <w:bookmarkStart w:name="z2587" w:id="234"/>
    <w:p>
      <w:pPr>
        <w:spacing w:after="0"/>
        <w:ind w:left="0"/>
        <w:jc w:val="both"/>
      </w:pPr>
      <w:r>
        <w:rPr>
          <w:rFonts w:ascii="Times New Roman"/>
          <w:b w:val="false"/>
          <w:i w:val="false"/>
          <w:color w:val="000000"/>
          <w:sz w:val="28"/>
        </w:rPr>
        <w:t>
      SР1 – требуемое количество значительных нарушений;</w:t>
      </w:r>
    </w:p>
    <w:bookmarkEnd w:id="234"/>
    <w:bookmarkStart w:name="z2588" w:id="235"/>
    <w:p>
      <w:pPr>
        <w:spacing w:after="0"/>
        <w:ind w:left="0"/>
        <w:jc w:val="both"/>
      </w:pPr>
      <w:r>
        <w:rPr>
          <w:rFonts w:ascii="Times New Roman"/>
          <w:b w:val="false"/>
          <w:i w:val="false"/>
          <w:color w:val="000000"/>
          <w:sz w:val="28"/>
        </w:rPr>
        <w:t>
      SР2 – количество выявленных значительных нарушений;</w:t>
      </w:r>
    </w:p>
    <w:bookmarkEnd w:id="235"/>
    <w:bookmarkStart w:name="z2589" w:id="236"/>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236"/>
    <w:bookmarkStart w:name="z2590" w:id="237"/>
    <w:p>
      <w:pPr>
        <w:spacing w:after="0"/>
        <w:ind w:left="0"/>
        <w:jc w:val="both"/>
      </w:pPr>
      <w:r>
        <w:rPr>
          <w:rFonts w:ascii="Times New Roman"/>
          <w:b w:val="false"/>
          <w:i w:val="false"/>
          <w:color w:val="000000"/>
          <w:sz w:val="28"/>
        </w:rPr>
        <w:t>
      SРн = (SР2 х 100/SР1) х 0,3,</w:t>
      </w:r>
    </w:p>
    <w:bookmarkEnd w:id="237"/>
    <w:bookmarkStart w:name="z2591" w:id="238"/>
    <w:p>
      <w:pPr>
        <w:spacing w:after="0"/>
        <w:ind w:left="0"/>
        <w:jc w:val="both"/>
      </w:pPr>
      <w:r>
        <w:rPr>
          <w:rFonts w:ascii="Times New Roman"/>
          <w:b w:val="false"/>
          <w:i w:val="false"/>
          <w:color w:val="000000"/>
          <w:sz w:val="28"/>
        </w:rPr>
        <w:t>
      где:</w:t>
      </w:r>
    </w:p>
    <w:bookmarkEnd w:id="238"/>
    <w:bookmarkStart w:name="z2592" w:id="239"/>
    <w:p>
      <w:pPr>
        <w:spacing w:after="0"/>
        <w:ind w:left="0"/>
        <w:jc w:val="both"/>
      </w:pPr>
      <w:r>
        <w:rPr>
          <w:rFonts w:ascii="Times New Roman"/>
          <w:b w:val="false"/>
          <w:i w:val="false"/>
          <w:color w:val="000000"/>
          <w:sz w:val="28"/>
        </w:rPr>
        <w:t>
      SРн – показатель незначительных нарушений;</w:t>
      </w:r>
    </w:p>
    <w:bookmarkEnd w:id="239"/>
    <w:bookmarkStart w:name="z2593" w:id="240"/>
    <w:p>
      <w:pPr>
        <w:spacing w:after="0"/>
        <w:ind w:left="0"/>
        <w:jc w:val="both"/>
      </w:pPr>
      <w:r>
        <w:rPr>
          <w:rFonts w:ascii="Times New Roman"/>
          <w:b w:val="false"/>
          <w:i w:val="false"/>
          <w:color w:val="000000"/>
          <w:sz w:val="28"/>
        </w:rPr>
        <w:t>
      SР1 – требуемое количество незначительных нарушений;</w:t>
      </w:r>
    </w:p>
    <w:bookmarkEnd w:id="240"/>
    <w:bookmarkStart w:name="z2594" w:id="241"/>
    <w:p>
      <w:pPr>
        <w:spacing w:after="0"/>
        <w:ind w:left="0"/>
        <w:jc w:val="both"/>
      </w:pPr>
      <w:r>
        <w:rPr>
          <w:rFonts w:ascii="Times New Roman"/>
          <w:b w:val="false"/>
          <w:i w:val="false"/>
          <w:color w:val="000000"/>
          <w:sz w:val="28"/>
        </w:rPr>
        <w:t>
      SР2 – количество выявленных незначительных нарушений;</w:t>
      </w:r>
    </w:p>
    <w:bookmarkEnd w:id="241"/>
    <w:bookmarkStart w:name="z2595" w:id="242"/>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242"/>
    <w:bookmarkStart w:name="z2596" w:id="243"/>
    <w:p>
      <w:pPr>
        <w:spacing w:after="0"/>
        <w:ind w:left="0"/>
        <w:jc w:val="both"/>
      </w:pPr>
      <w:r>
        <w:rPr>
          <w:rFonts w:ascii="Times New Roman"/>
          <w:b w:val="false"/>
          <w:i w:val="false"/>
          <w:color w:val="000000"/>
          <w:sz w:val="28"/>
        </w:rPr>
        <w:t>
      SР = SРз + SРн,</w:t>
      </w:r>
    </w:p>
    <w:bookmarkEnd w:id="243"/>
    <w:bookmarkStart w:name="z2597" w:id="244"/>
    <w:p>
      <w:pPr>
        <w:spacing w:after="0"/>
        <w:ind w:left="0"/>
        <w:jc w:val="both"/>
      </w:pPr>
      <w:r>
        <w:rPr>
          <w:rFonts w:ascii="Times New Roman"/>
          <w:b w:val="false"/>
          <w:i w:val="false"/>
          <w:color w:val="000000"/>
          <w:sz w:val="28"/>
        </w:rPr>
        <w:t>
      где:</w:t>
      </w:r>
    </w:p>
    <w:bookmarkEnd w:id="244"/>
    <w:bookmarkStart w:name="z2598" w:id="245"/>
    <w:p>
      <w:pPr>
        <w:spacing w:after="0"/>
        <w:ind w:left="0"/>
        <w:jc w:val="both"/>
      </w:pPr>
      <w:r>
        <w:rPr>
          <w:rFonts w:ascii="Times New Roman"/>
          <w:b w:val="false"/>
          <w:i w:val="false"/>
          <w:color w:val="000000"/>
          <w:sz w:val="28"/>
        </w:rPr>
        <w:t>
      SР – общий показатель степени риска;</w:t>
      </w:r>
    </w:p>
    <w:bookmarkEnd w:id="245"/>
    <w:bookmarkStart w:name="z2599" w:id="246"/>
    <w:p>
      <w:pPr>
        <w:spacing w:after="0"/>
        <w:ind w:left="0"/>
        <w:jc w:val="both"/>
      </w:pPr>
      <w:r>
        <w:rPr>
          <w:rFonts w:ascii="Times New Roman"/>
          <w:b w:val="false"/>
          <w:i w:val="false"/>
          <w:color w:val="000000"/>
          <w:sz w:val="28"/>
        </w:rPr>
        <w:t>
      SРз – показатель значительных нарушений;</w:t>
      </w:r>
    </w:p>
    <w:bookmarkEnd w:id="246"/>
    <w:bookmarkStart w:name="z2600" w:id="247"/>
    <w:p>
      <w:pPr>
        <w:spacing w:after="0"/>
        <w:ind w:left="0"/>
        <w:jc w:val="both"/>
      </w:pPr>
      <w:r>
        <w:rPr>
          <w:rFonts w:ascii="Times New Roman"/>
          <w:b w:val="false"/>
          <w:i w:val="false"/>
          <w:color w:val="000000"/>
          <w:sz w:val="28"/>
        </w:rPr>
        <w:t>
      SРн – показатель незначительных нарушений.</w:t>
      </w:r>
    </w:p>
    <w:bookmarkEnd w:id="247"/>
    <w:bookmarkStart w:name="z2601" w:id="248"/>
    <w:p>
      <w:pPr>
        <w:spacing w:after="0"/>
        <w:ind w:left="0"/>
        <w:jc w:val="left"/>
      </w:pPr>
      <w:r>
        <w:rPr>
          <w:rFonts w:ascii="Times New Roman"/>
          <w:b/>
          <w:i w:val="false"/>
          <w:color w:val="000000"/>
        </w:rPr>
        <w:t xml:space="preserve"> Глава 4. Управление рисками</w:t>
      </w:r>
    </w:p>
    <w:bookmarkEnd w:id="248"/>
    <w:bookmarkStart w:name="z2602" w:id="249"/>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органа государственного контроля в сфере обеспечения единства измерений, посредством применения субъективных критериев.</w:t>
      </w:r>
    </w:p>
    <w:bookmarkEnd w:id="249"/>
    <w:bookmarkStart w:name="z2603" w:id="250"/>
    <w:p>
      <w:pPr>
        <w:spacing w:after="0"/>
        <w:ind w:left="0"/>
        <w:jc w:val="both"/>
      </w:pPr>
      <w:r>
        <w:rPr>
          <w:rFonts w:ascii="Times New Roman"/>
          <w:b w:val="false"/>
          <w:i w:val="false"/>
          <w:color w:val="000000"/>
          <w:sz w:val="28"/>
        </w:rPr>
        <w:t>
      14.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250"/>
    <w:bookmarkStart w:name="z2604" w:id="251"/>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251"/>
    <w:bookmarkStart w:name="z2605" w:id="252"/>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органа государственного контроля в сфере обеспечения единства измерений определены случаи освобождения от профилактического контроля с посещением субъекта (объекта) контроля;</w:t>
      </w:r>
    </w:p>
    <w:bookmarkEnd w:id="252"/>
    <w:bookmarkStart w:name="z2606" w:id="253"/>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253"/>
    <w:bookmarkStart w:name="z2607" w:id="254"/>
    <w:p>
      <w:pPr>
        <w:spacing w:after="0"/>
        <w:ind w:left="0"/>
        <w:jc w:val="both"/>
      </w:pPr>
      <w:r>
        <w:rPr>
          <w:rFonts w:ascii="Times New Roman"/>
          <w:b w:val="false"/>
          <w:i w:val="false"/>
          <w:color w:val="000000"/>
          <w:sz w:val="28"/>
        </w:rPr>
        <w:t>
      15.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254"/>
    <w:bookmarkStart w:name="z2608" w:id="255"/>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определенной сфере государственного контроля.</w:t>
      </w:r>
    </w:p>
    <w:bookmarkEnd w:id="2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для отбора субъектов (объектов) контроля</w:t>
            </w:r>
            <w:r>
              <w:br/>
            </w:r>
            <w:r>
              <w:rPr>
                <w:rFonts w:ascii="Times New Roman"/>
                <w:b w:val="false"/>
                <w:i w:val="false"/>
                <w:color w:val="000000"/>
                <w:sz w:val="20"/>
              </w:rPr>
              <w:t>в области обеспечения единства измерений</w:t>
            </w:r>
          </w:p>
        </w:tc>
      </w:tr>
    </w:tbl>
    <w:bookmarkStart w:name="z2610" w:id="256"/>
    <w:p>
      <w:pPr>
        <w:spacing w:after="0"/>
        <w:ind w:left="0"/>
        <w:jc w:val="left"/>
      </w:pPr>
      <w:r>
        <w:rPr>
          <w:rFonts w:ascii="Times New Roman"/>
          <w:b/>
          <w:i w:val="false"/>
          <w:color w:val="000000"/>
        </w:rPr>
        <w:t xml:space="preserve"> Субъективные критерии в области обеспечения единства измерений</w:t>
      </w:r>
    </w:p>
    <w:bookmarkEnd w:id="2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Субъективные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предыдущих проверок и профилактического контроля с посещением субъектов (объектов) контроля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поверки средств измерений, перед выпуском в обращение, после ремонта, в период эксплуатации удостоверенной оттиском поверительного клейма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метрологически аттестованных и зарегистрированных в реестре Государственной системы обеспечения единства измерений методик выполнения измерений, применяемых при измерениях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об утверждении типа средств измерений установленного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метрологической аттестации средств измерений установленного образца, срок действия которого устанавливается при его выдаче, для средств измерений, выпускаемых в обращение в единичных экземплярах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калибровки эталонов единиц величин, поверки или калибровки средств измерений для передачи размеров единиц величин от государственных эталонов единиц величин, а в случае отсутствия в Республике Казахстан государственных эталонов единиц величин – от национальных эталонов единиц величин других государств, степень эквивалентности которых подтверждена в базе данных ключевых сличений Международного бюро мер и весов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сличения Государственных эталонов единиц величин с эталонами единиц величин Международного бюро мер и весов и национальными эталонами единиц величин других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применяемых методик выполнения измерений при испытаниях объектов исследований с целью оценки их параметров с установленной точностью, а также для проведения учетных операций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методики выполнения измерении в виде национального стандарта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метрологической аттестации методики выполнения измерений проводимые с целью установления (подтверждения) предъявляемых к ней метрологических требований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метрологической аттестации методики выполнения измерений в Государственном научном метрологическом центре, юридическими лицами, аккредитованными на проведение работ по метрологической аттестации методик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прошедшей экспертизу представленного комплекта документов на предмет подтверждения соответствия методики выполнения измерений установленным требованиям путем оценивания правильности (обоснованности):</w:t>
            </w:r>
          </w:p>
          <w:p>
            <w:pPr>
              <w:spacing w:after="20"/>
              <w:ind w:left="20"/>
              <w:jc w:val="both"/>
            </w:pPr>
            <w:r>
              <w:rPr>
                <w:rFonts w:ascii="Times New Roman"/>
                <w:b w:val="false"/>
                <w:i w:val="false"/>
                <w:color w:val="000000"/>
                <w:sz w:val="20"/>
              </w:rPr>
              <w:t>
1) модели измерений;</w:t>
            </w:r>
          </w:p>
          <w:p>
            <w:pPr>
              <w:spacing w:after="20"/>
              <w:ind w:left="20"/>
              <w:jc w:val="both"/>
            </w:pPr>
            <w:r>
              <w:rPr>
                <w:rFonts w:ascii="Times New Roman"/>
                <w:b w:val="false"/>
                <w:i w:val="false"/>
                <w:color w:val="000000"/>
                <w:sz w:val="20"/>
              </w:rPr>
              <w:t>
2) сведений, приведенных при описании бюджета неопределенности или структуры образования погрешности результата измерений, полученных при разработке методики выполнения измерений;</w:t>
            </w:r>
          </w:p>
          <w:p>
            <w:pPr>
              <w:spacing w:after="20"/>
              <w:ind w:left="20"/>
              <w:jc w:val="both"/>
            </w:pPr>
            <w:r>
              <w:rPr>
                <w:rFonts w:ascii="Times New Roman"/>
                <w:b w:val="false"/>
                <w:i w:val="false"/>
                <w:color w:val="000000"/>
                <w:sz w:val="20"/>
              </w:rPr>
              <w:t>
3) плана и объема экспериментальных исследований, включая методы отбора и подготовки проб;</w:t>
            </w:r>
          </w:p>
          <w:p>
            <w:pPr>
              <w:spacing w:after="20"/>
              <w:ind w:left="20"/>
              <w:jc w:val="both"/>
            </w:pPr>
            <w:r>
              <w:rPr>
                <w:rFonts w:ascii="Times New Roman"/>
                <w:b w:val="false"/>
                <w:i w:val="false"/>
                <w:color w:val="000000"/>
                <w:sz w:val="20"/>
              </w:rPr>
              <w:t>
4) выбора средств измерений, эталонов единиц величин, стандартных образцов, технических средств и материалов, использованных при проведении экспериментальных исследований методики выполнения измерений;</w:t>
            </w:r>
          </w:p>
          <w:p>
            <w:pPr>
              <w:spacing w:after="20"/>
              <w:ind w:left="20"/>
              <w:jc w:val="both"/>
            </w:pPr>
            <w:r>
              <w:rPr>
                <w:rFonts w:ascii="Times New Roman"/>
                <w:b w:val="false"/>
                <w:i w:val="false"/>
                <w:color w:val="000000"/>
                <w:sz w:val="20"/>
              </w:rPr>
              <w:t>
5) выбора условий проведения экспериментальных исследований методики выполнения измерений;</w:t>
            </w:r>
          </w:p>
          <w:p>
            <w:pPr>
              <w:spacing w:after="20"/>
              <w:ind w:left="20"/>
              <w:jc w:val="both"/>
            </w:pPr>
            <w:r>
              <w:rPr>
                <w:rFonts w:ascii="Times New Roman"/>
                <w:b w:val="false"/>
                <w:i w:val="false"/>
                <w:color w:val="000000"/>
                <w:sz w:val="20"/>
              </w:rPr>
              <w:t>
6) выбора способов и средств обработки результатов экспериментальных исследований методики выполнения измерений, включая программное обеспечение;</w:t>
            </w:r>
          </w:p>
          <w:p>
            <w:pPr>
              <w:spacing w:after="20"/>
              <w:ind w:left="20"/>
              <w:jc w:val="both"/>
            </w:pPr>
            <w:r>
              <w:rPr>
                <w:rFonts w:ascii="Times New Roman"/>
                <w:b w:val="false"/>
                <w:i w:val="false"/>
                <w:color w:val="000000"/>
                <w:sz w:val="20"/>
              </w:rPr>
              <w:t>
7) выбора способов представления характеристик погрешности или способов представления неопределенности;</w:t>
            </w:r>
          </w:p>
          <w:p>
            <w:pPr>
              <w:spacing w:after="20"/>
              <w:ind w:left="20"/>
              <w:jc w:val="both"/>
            </w:pPr>
            <w:r>
              <w:rPr>
                <w:rFonts w:ascii="Times New Roman"/>
                <w:b w:val="false"/>
                <w:i w:val="false"/>
                <w:color w:val="000000"/>
                <w:sz w:val="20"/>
              </w:rPr>
              <w:t>
8) выбора предложенных процедур контроля показателей точности результатов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дополнительных экспериментальных метрологических исследований методики выполнения измерений при необходимости подтверждения правильности выбора метода и средств измерений, а также полноты требований, содержащихся в методике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результатам экспертизы методики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выполнения измерений при положительных результатах метрологической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в случае признания методики выполнения измерений государствами-членами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в случае признания в странах Содружества Независимых Государств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метрологической аттестации методики выполнения измерений при:</w:t>
            </w:r>
          </w:p>
          <w:p>
            <w:pPr>
              <w:spacing w:after="20"/>
              <w:ind w:left="20"/>
              <w:jc w:val="both"/>
            </w:pPr>
            <w:r>
              <w:rPr>
                <w:rFonts w:ascii="Times New Roman"/>
                <w:b w:val="false"/>
                <w:i w:val="false"/>
                <w:color w:val="000000"/>
                <w:sz w:val="20"/>
              </w:rPr>
              <w:t>
1) изменении исходных данных или метрологических характеристик методики выполнения измерений;</w:t>
            </w:r>
          </w:p>
          <w:p>
            <w:pPr>
              <w:spacing w:after="20"/>
              <w:ind w:left="20"/>
              <w:jc w:val="both"/>
            </w:pPr>
            <w:r>
              <w:rPr>
                <w:rFonts w:ascii="Times New Roman"/>
                <w:b w:val="false"/>
                <w:i w:val="false"/>
                <w:color w:val="000000"/>
                <w:sz w:val="20"/>
              </w:rPr>
              <w:t>
2) внесении изменений и дополнений в процедуру проведения измерений;</w:t>
            </w:r>
          </w:p>
          <w:p>
            <w:pPr>
              <w:spacing w:after="20"/>
              <w:ind w:left="20"/>
              <w:jc w:val="both"/>
            </w:pPr>
            <w:r>
              <w:rPr>
                <w:rFonts w:ascii="Times New Roman"/>
                <w:b w:val="false"/>
                <w:i w:val="false"/>
                <w:color w:val="000000"/>
                <w:sz w:val="20"/>
              </w:rPr>
              <w:t>
3) истечении срока действия свидетельства о метрологической аттестации методики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возврате на доработку методики выполнения измерений при отрицательных результатах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межгосударственных, национальных стандартов в области обеспечения единства измерений, устанавливающих методику выполнения измерения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выполнения измерений, зарегистрированного в реестре Государственной системы обеспечения единства измерений Республики Казахстан при положительных результатах метрологической экспертизы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Государственной системы обеспечения единства измерений метрологически аттестованной методики выполнения измерений разработанной в государстве-участнице "Соглашения о взаимном признании результатов испытаний с целью утверждения типа, метрологической аттестации, поверки и калибровки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экземпляра методики выполнения измерений, со штампом "Зарегистрировано", с указанием регистрационного номера, даты и срока действия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следующих документов для включения в число пользователей методики выполнения измерений других предприятий, если методика выполнения измерения зарегистрирована для использования в пределах одного предприятия:</w:t>
            </w:r>
          </w:p>
          <w:p>
            <w:pPr>
              <w:spacing w:after="20"/>
              <w:ind w:left="20"/>
              <w:jc w:val="both"/>
            </w:pPr>
            <w:r>
              <w:rPr>
                <w:rFonts w:ascii="Times New Roman"/>
                <w:b w:val="false"/>
                <w:i w:val="false"/>
                <w:color w:val="000000"/>
                <w:sz w:val="20"/>
              </w:rPr>
              <w:t>
1) заявки;</w:t>
            </w:r>
          </w:p>
          <w:p>
            <w:pPr>
              <w:spacing w:after="20"/>
              <w:ind w:left="20"/>
              <w:jc w:val="both"/>
            </w:pPr>
            <w:r>
              <w:rPr>
                <w:rFonts w:ascii="Times New Roman"/>
                <w:b w:val="false"/>
                <w:i w:val="false"/>
                <w:color w:val="000000"/>
                <w:sz w:val="20"/>
              </w:rPr>
              <w:t>
2) учтенного экземпляра методики выполнения измерений;</w:t>
            </w:r>
          </w:p>
          <w:p>
            <w:pPr>
              <w:spacing w:after="20"/>
              <w:ind w:left="20"/>
              <w:jc w:val="both"/>
            </w:pPr>
            <w:r>
              <w:rPr>
                <w:rFonts w:ascii="Times New Roman"/>
                <w:b w:val="false"/>
                <w:i w:val="false"/>
                <w:color w:val="000000"/>
                <w:sz w:val="20"/>
              </w:rPr>
              <w:t>
3) копии свидетельства об аттестации методики выполнения измерений;</w:t>
            </w:r>
          </w:p>
          <w:p>
            <w:pPr>
              <w:spacing w:after="20"/>
              <w:ind w:left="20"/>
              <w:jc w:val="both"/>
            </w:pPr>
            <w:r>
              <w:rPr>
                <w:rFonts w:ascii="Times New Roman"/>
                <w:b w:val="false"/>
                <w:i w:val="false"/>
                <w:color w:val="000000"/>
                <w:sz w:val="20"/>
              </w:rPr>
              <w:t>
4) разрешения от держателя подлинника методики выполнения измерений на ее использование (оригинал либо нотариально заверенная копия)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методик выполнения измерений используемых для получения результатов измерений с наивысшей точностью, примененных для оценки правильности измеренных значений величины, полученных с помощью других методик выполнения измерений величин того же рода, а также для калибровки средств измерений или для определения характеристик стандартных образцов, путем аттестации в референтную методику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метрологической аттестации методики выполнения измерений, принимаемой в качестве референтной, Государственным научным метрологическим центром и аккредитованным юридическими лицами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в случае метрологической аттестации методик выполнения измерений в качестве референтной из числа метрологически аттестованных методик выполнения измерений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(метода) измерений, в случае если аттестация референтной методики проводится в отношении вновь разработанной методики (метода)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направленных исполнителем по окончанию проведения метрологической аттестации референтной методики выполнения измерений для ее утверждения в уполномоченный орган в области обеспечения единства измерений:</w:t>
            </w:r>
          </w:p>
          <w:p>
            <w:pPr>
              <w:spacing w:after="20"/>
              <w:ind w:left="20"/>
              <w:jc w:val="both"/>
            </w:pPr>
            <w:r>
              <w:rPr>
                <w:rFonts w:ascii="Times New Roman"/>
                <w:b w:val="false"/>
                <w:i w:val="false"/>
                <w:color w:val="000000"/>
                <w:sz w:val="20"/>
              </w:rPr>
              <w:t>
1) документ, содержащий референтную методику выполнения измерений (описание референтной методики выполнения измерений);</w:t>
            </w:r>
          </w:p>
          <w:p>
            <w:pPr>
              <w:spacing w:after="20"/>
              <w:ind w:left="20"/>
              <w:jc w:val="both"/>
            </w:pPr>
            <w:r>
              <w:rPr>
                <w:rFonts w:ascii="Times New Roman"/>
                <w:b w:val="false"/>
                <w:i w:val="false"/>
                <w:color w:val="000000"/>
                <w:sz w:val="20"/>
              </w:rPr>
              <w:t>
2) заключение о соответствии референтной методики выполнения измерений, установленным метрологическим требованиям к измерениям;</w:t>
            </w:r>
          </w:p>
          <w:p>
            <w:pPr>
              <w:spacing w:after="20"/>
              <w:ind w:left="20"/>
              <w:jc w:val="both"/>
            </w:pPr>
            <w:r>
              <w:rPr>
                <w:rFonts w:ascii="Times New Roman"/>
                <w:b w:val="false"/>
                <w:i w:val="false"/>
                <w:color w:val="000000"/>
                <w:sz w:val="20"/>
              </w:rPr>
              <w:t>
3) отчет, утвержденный руководителем исполнителя и содержащий результаты теоретических и (или) экспериментальных исследований;</w:t>
            </w:r>
          </w:p>
          <w:p>
            <w:pPr>
              <w:spacing w:after="20"/>
              <w:ind w:left="20"/>
              <w:jc w:val="both"/>
            </w:pPr>
            <w:r>
              <w:rPr>
                <w:rFonts w:ascii="Times New Roman"/>
                <w:b w:val="false"/>
                <w:i w:val="false"/>
                <w:color w:val="000000"/>
                <w:sz w:val="20"/>
              </w:rPr>
              <w:t>
4) копию свидетельства о метрологической аттестации методики выполнения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свидетельстве о метрологической аттестации референтной методики выполнения измерений штампа: "Зарегистрировано в реестре государственной системы обеспечения единства измерений, в качестве референтной методики выполнения измерений" с указанием регистрационного номера и даты регистрации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референтную методику выполнения измерений разработчиком и представление на аттестацию и утверждение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эталонов единиц величин, предназначенных для воспроизведения и (или) хранения единиц величин (кратных либо дольных значений единиц величин) с целью передачи их размеров эталонам единиц величин, средствам измерений данных величин на территории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эталонов единиц величин у субъектов аккредитации предназначенные для воспроизведения и (или) хранения единиц величин (кратных либо дольных значений единиц величин) с целью передачи их размеров другим средствам измерений данных величин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государственных эталонов единиц величин в соответствии с техническим заданием, в котором устанавливаются требования к метрологическим и техническим характеристикам эталонов единиц величин, а также этапы их создания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эталонов единиц величин субъектов аккредитации в соответствии с техническим заданием или документом в области обеспечения единства измерений, устанавливающим требования к метрологическим и техническим характеристикам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ранее утвержденного государственного эталона единиц величин из числа государственных или перевод в более низкий разряд только по результатам экспериментальных исследований или в случае создания и утверждения нового государственного эталона, с более высокими метрологическими характеристиками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обеспечения единства измерений государственных эталонов единиц величин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утверждение перечня эталонов единиц величин по форме, согласно приложения к правилам создания, утверждения, хранения, применения и сличения государственных эталонов единиц величин и эталонов единиц величин субъектов</w:t>
            </w:r>
          </w:p>
          <w:p>
            <w:pPr>
              <w:spacing w:after="20"/>
              <w:ind w:left="20"/>
              <w:jc w:val="both"/>
            </w:pPr>
            <w:r>
              <w:rPr>
                <w:rFonts w:ascii="Times New Roman"/>
                <w:b w:val="false"/>
                <w:i w:val="false"/>
                <w:color w:val="000000"/>
                <w:sz w:val="20"/>
              </w:rPr>
              <w:t xml:space="preserve">
аккредитации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Субъекты аккредитации в случае внесения изменений в утвержденный перечень эталонов единиц величин в течение 30 (тридцать) рабочих дней со дня внесения изменений направляют соответствующие сведения в Государственный научный метрологический центр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государственных эталонов единиц величин для работ, связанных с воспроизведением, хранением и передачей размеров единиц величин, сличениями эталонов единиц величин, а также для научно-исследовательских работ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применение Государственных эталонов единиц величин осуществляется в соответствии с нормативным документом по стандартизации, эталонов единиц величин субъектов аккредитации в соответствии с руководством по эксплуатации или соответствующим разделом технического описания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аккредитации осуществляют ведение журнала, в котором регистрируются работы, проведенные на эталоне единиц величин, в том числе профилактические и ремонтные работы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Поверочные лаборатории передают данные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поверки на средства измерений, прошедшие испытания для целей утверждения типа и на соответствие утвержденному типу, и внесенные в реестр государственной системы обеспечения единства измерений, а также выпускаемые из производства и после ремонта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периодической поверки средств измерений, находящихся в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внеочередной поверки при эксплуатации средств измерений до окончания срока действия сертификата о поверке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инспекционной поверки средств измерений при осуществлении государственного метрологического контроля и метрологического контроля для установления их исправности, правильности результатов последней поверки, уточнения принятой периодичности и установления правильности эксплуатации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поверки, при возникновении спорных вопросов по метрологическим характеристикам, исправности средств измерений и пригодности их к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прослеживаемости применяемых для поверки эталонов единиц величин, поверяемых средств измерений до государственных эталонов единиц величин Республики Казахстан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поверки средств измерений аттестованными поверителями аккредитованных юридических лиц в соответствии с методикой поверки средств измерений на договорных условиях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средств измерений на основании заявки владельца (пользователя) средства измерений, изготовителя средств измерений, государственных органов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средств измерений в стационарных или передвижных поверочных лабораториях,</w:t>
            </w:r>
          </w:p>
          <w:p>
            <w:pPr>
              <w:spacing w:after="20"/>
              <w:ind w:left="20"/>
              <w:jc w:val="both"/>
            </w:pPr>
            <w:r>
              <w:rPr>
                <w:rFonts w:ascii="Times New Roman"/>
                <w:b w:val="false"/>
                <w:i w:val="false"/>
                <w:color w:val="000000"/>
                <w:sz w:val="20"/>
              </w:rPr>
              <w:t>
непосредственно на местах расположения средств измерений (местах их изготовления, ремонта или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на поверку представляются расконсервированными, очищенными от грязи пыли, вместе с паспортом, техническим описанием, инструкцией по эксплуатации, методикой поверки и сертификатом о поверке средств измерений (при наличии), а также необходимыми комплектующими устройствами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поверки средств измерений в ограниченном диапазоне или для применяемого числа диапазонов величин (на средство измерений наносится заявителем отчетливая надпись или условное обозначение, определяющие область их применения)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результатов первичной, периодической и внеочередной поверок средств измерений осуществляемых в соответствии с методиками поверки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о поверке средств измерений указывается с учетом периодичности поверки средства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извещения о непригодности к применению средства измерения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сведений в поверочной лаборатории по передаче заявителю средства измерения с оформленным сертификатом или извещением о непригодности, а также передаче в Государственный научный метрологический центр сведений о поверенном средстве измерений для осуществления электронного учета данных о поверяемых средствах измерений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результатам экспертной поверки, проводимой по письменному обращению государственных органов, физических или юридических лиц при возникновении спорных вопросов по метрологическим характеристикам, об исправности средств измерений и пригодности средств измерений к эксплуатации и правильности эксплуатации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результатов поверки средств измерений, проведенной в государстве-члене Евразийского экономического союза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первичной поверки средств измерений, проводимой лабораториями или иными подразделениями зарубежных фирм выполняющими поверку (калибровку)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ошибок (опечаток) в сертификате о поверке средств измерений, допускается его замена с указанием номера и даты выдачи заменяемого сертификата о поверке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периодичности поверки средств измерений (первичное значение) при проведении испытаний для целей утверждения типа или метрологической 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единого интервала между поверками (межповерочный интервал) при определении периодичности поверки для группы однотипных средств измерений для всех средств измерений данной группы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назначении периодичности поверки применяются критерии двух видов – нормируемые показатели метрологической надежности (нестабильности) средства измерений и экономический критерий оптимальности периодичности поверки, обеспечивающий максимальный экономический эффект эксплуатации средства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периодичности поверки, на основе предложений Государственным научным метрологическим центром, заинтересованных физических или юридических лиц с учетом результатов поверки средств измерений при эксплуатации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значения периодичности поверки в календарном времени для средства измерений, изменение метрологических характеристик которых обусловлено старением (не зависит от интенсивности эксплуатации средства измерений), и в значениях наработки для средства измерений, изменение метрологических характеристик которых является следствием износа элементов средств измерений (зависящего от интенсивности эксплуатации)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значения периодичности поверки до 1 года в месяцах (эксплуатации или наработки) из ряда: 0,25; 0,5; 1; 2; 3; 4; 5; 6; 7; 8; 9; 10; 11; 12; и свыше 12 месяцев в годах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периодичности поверки осуществляется на основании моделирования зависимости показателей точности или метрологической надежности средств измерений от времени (наработки), прошедшего с момента последней поверки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в Государственный научный метрологический центр не менее чем за один месяц до истечения срока действия ранее выданного сертификата для переаттестации поверителя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реестре государственной системы обеспечения единства измерений поверителя, прошедшего аттестацию (переаттестацию) с указанием номера регистрации на сертификате об аттестации (переаттестации)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государственной системы обеспечения единства измерений в срок пять рабочих дней со дня принятия решения об отзыве сертификата и направление уведомления в организацию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в которой работает поверитель, в срок трех рабочих дней со дня получения уведомления направляет сертификат в Государственный научный метрологический центр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переаттестации поверителя документы представляются в Государственный научный метрологический центр не менее чем за один месяц до истечения срока действия ранее выданного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метрологической экспертизы Государственный научный метрологический центр направляет разработчику нормативно правового акта заключение по метрологической экспертизе нормативного правового акта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утери сертификата поверитель:</w:t>
            </w:r>
          </w:p>
          <w:p>
            <w:pPr>
              <w:spacing w:after="20"/>
              <w:ind w:left="20"/>
              <w:jc w:val="both"/>
            </w:pPr>
            <w:r>
              <w:rPr>
                <w:rFonts w:ascii="Times New Roman"/>
                <w:b w:val="false"/>
                <w:i w:val="false"/>
                <w:color w:val="000000"/>
                <w:sz w:val="20"/>
              </w:rPr>
              <w:t>
1) опубликовывает в средствах массовой информации, распространяемых на всей территории Республики Казахстан, сведения о признании недействительным сертификата с указанием номера, даты выдачи и срока действия сертификата;</w:t>
            </w:r>
          </w:p>
          <w:p>
            <w:pPr>
              <w:spacing w:after="20"/>
              <w:ind w:left="20"/>
              <w:jc w:val="both"/>
            </w:pPr>
            <w:r>
              <w:rPr>
                <w:rFonts w:ascii="Times New Roman"/>
                <w:b w:val="false"/>
                <w:i w:val="false"/>
                <w:color w:val="000000"/>
                <w:sz w:val="20"/>
              </w:rPr>
              <w:t>
2) подает заявление в Государственный научный метрологический центр о признании сертификата недействительным и о выдаче дубликата сертификата с указанием номера сертификата, даты выдачи, срока действия, с приложением документа, подтверждающего опубликование сведений о признании недействительным сертификата с указанием номера, даты выдачи и срока действия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сертификата поверителя в срок 10 (десять) рабочих дней со дня подачи заявления в Государственный научный метрологический центр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заявления поверителем в Государственный научный метрологический центр о выдаче дубликата сертификата, с указанием номера сертификата, даты выдачи, срока действия с приложением испорченного оригинала сертификата в случае порчи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дубликате сертификата в правом верхнем углу указывается слово "Дубликат", с сохранением номера, даты выдачи и срока действия ранее выданного оригинала сертификата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годовых поверительных клейм в случаях, если для средства измерений установлен межповерочный интервал год и более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квартальных поверительных клейм, в случаях, если для средства измерений установлен межповерочный интервал менее одного года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знак поверителя средств измерений присваивается руководителем поверочной лаборатории и состоит из одного символа, обозначаемого буквой казахского или латинского алфавита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Поверочные лаборатории, вновь аккредитованные на право поверки средств измерений, представляют заявку на изготовление поверительных клейм в Государственный научный метрологический центр после получения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поверительных клейм в поверочных лабораториях возлагается на уполномоченное лицо, утвержденное руководителем поверочной лаборатории, которое ведет журналы выдачи и приемки поверительных клейм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поверительных клейм и журнала в несгораемом шкафу, доступ к которому имеет руководитель поверочной лаборатории или уполномоченное лицо</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и проверки на ежеквартальной основе состояния поверительных клейм руководителем поверочной лаборатории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журнале отметки поверителя средств измерений, о сдаче неиспользованных поверительных клейм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гашения и/или уничтожения поверительных клейм в случае повреждения или истечения срока применения поверительных клейм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поверительных клейм нижеследующим способам нанесения:</w:t>
            </w:r>
          </w:p>
          <w:p>
            <w:pPr>
              <w:spacing w:after="20"/>
              <w:ind w:left="20"/>
              <w:jc w:val="both"/>
            </w:pPr>
            <w:r>
              <w:rPr>
                <w:rFonts w:ascii="Times New Roman"/>
                <w:b w:val="false"/>
                <w:i w:val="false"/>
                <w:color w:val="000000"/>
                <w:sz w:val="20"/>
              </w:rPr>
              <w:t>
1) ударный (металлическое и латунное клейма);</w:t>
            </w:r>
          </w:p>
          <w:p>
            <w:pPr>
              <w:spacing w:after="20"/>
              <w:ind w:left="20"/>
              <w:jc w:val="both"/>
            </w:pPr>
            <w:r>
              <w:rPr>
                <w:rFonts w:ascii="Times New Roman"/>
                <w:b w:val="false"/>
                <w:i w:val="false"/>
                <w:color w:val="000000"/>
                <w:sz w:val="20"/>
              </w:rPr>
              <w:t>
2) наклеивание (самоклеящийся лейбл);</w:t>
            </w:r>
          </w:p>
          <w:p>
            <w:pPr>
              <w:spacing w:after="20"/>
              <w:ind w:left="20"/>
              <w:jc w:val="both"/>
            </w:pPr>
            <w:r>
              <w:rPr>
                <w:rFonts w:ascii="Times New Roman"/>
                <w:b w:val="false"/>
                <w:i w:val="false"/>
                <w:color w:val="000000"/>
                <w:sz w:val="20"/>
              </w:rPr>
              <w:t xml:space="preserve">
3) пломбирование (пластиковая пломба).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Метрологическая экспертиза проектов и действующих нормативных правовых актов, технических регламентов, а также проектов межгосударственных и национальных стандартов (за исключением стандартов, разрабатываемых на основе международных и региональных стандартов с идентичной степенью соответствия), содержащих требования к измерениям, средствам измерений, в том числе стандартным образцам является обязательной и проводится Государственным научным метрологическим центром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экспертизы стандартов на продукцию и услуги, работы (процессы), методы контроля (испытаний, измерений, анализа) которые устанавливают:</w:t>
            </w:r>
          </w:p>
          <w:p>
            <w:pPr>
              <w:spacing w:after="20"/>
              <w:ind w:left="20"/>
              <w:jc w:val="both"/>
            </w:pPr>
            <w:r>
              <w:rPr>
                <w:rFonts w:ascii="Times New Roman"/>
                <w:b w:val="false"/>
                <w:i w:val="false"/>
                <w:color w:val="000000"/>
                <w:sz w:val="20"/>
              </w:rPr>
              <w:t>
1) требования к характеристикам точности измерений, достоверности измерительного контроля;</w:t>
            </w:r>
          </w:p>
          <w:p>
            <w:pPr>
              <w:spacing w:after="20"/>
              <w:ind w:left="20"/>
              <w:jc w:val="both"/>
            </w:pPr>
            <w:r>
              <w:rPr>
                <w:rFonts w:ascii="Times New Roman"/>
                <w:b w:val="false"/>
                <w:i w:val="false"/>
                <w:color w:val="000000"/>
                <w:sz w:val="20"/>
              </w:rPr>
              <w:t>
2) требования к методикам выполнения измерений, средствам измерений, стандартным образцам, аттестованным смесям;</w:t>
            </w:r>
          </w:p>
          <w:p>
            <w:pPr>
              <w:spacing w:after="20"/>
              <w:ind w:left="20"/>
              <w:jc w:val="both"/>
            </w:pPr>
            <w:r>
              <w:rPr>
                <w:rFonts w:ascii="Times New Roman"/>
                <w:b w:val="false"/>
                <w:i w:val="false"/>
                <w:color w:val="000000"/>
                <w:sz w:val="20"/>
              </w:rPr>
              <w:t>
3) методики выполнения измерений, анализа, испытаний и измерительного контроля;</w:t>
            </w:r>
          </w:p>
          <w:p>
            <w:pPr>
              <w:spacing w:after="20"/>
              <w:ind w:left="20"/>
              <w:jc w:val="both"/>
            </w:pPr>
            <w:r>
              <w:rPr>
                <w:rFonts w:ascii="Times New Roman"/>
                <w:b w:val="false"/>
                <w:i w:val="false"/>
                <w:color w:val="000000"/>
                <w:sz w:val="20"/>
              </w:rPr>
              <w:t>
4) данные о свойствах веществ и материалов, в том числе стандартные справочные данные;</w:t>
            </w:r>
          </w:p>
          <w:p>
            <w:pPr>
              <w:spacing w:after="20"/>
              <w:ind w:left="20"/>
              <w:jc w:val="both"/>
            </w:pPr>
            <w:r>
              <w:rPr>
                <w:rFonts w:ascii="Times New Roman"/>
                <w:b w:val="false"/>
                <w:i w:val="false"/>
                <w:color w:val="000000"/>
                <w:sz w:val="20"/>
              </w:rPr>
              <w:t>
5) применение стандартных образцов;</w:t>
            </w:r>
          </w:p>
          <w:p>
            <w:pPr>
              <w:spacing w:after="20"/>
              <w:ind w:left="20"/>
              <w:jc w:val="both"/>
            </w:pPr>
            <w:r>
              <w:rPr>
                <w:rFonts w:ascii="Times New Roman"/>
                <w:b w:val="false"/>
                <w:i w:val="false"/>
                <w:color w:val="000000"/>
                <w:sz w:val="20"/>
              </w:rPr>
              <w:t>
6) методики поверки и калибровки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утверждении типа стандартного образца принимается уполномоченным органом осуществляющим государственное регулирование в области технического регулирования и метрологии на основании положительных результатов метрологической экспертизы, проводимой Государственным научным метрологическим центром и удостоверяется сертификатом об утверждении типа стандартного образца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метрологической экспертизы документов по разработке стандартного образца заявитель направляет в Государственный научный метрологический центр следующие документы:</w:t>
            </w:r>
          </w:p>
          <w:p>
            <w:pPr>
              <w:spacing w:after="20"/>
              <w:ind w:left="20"/>
              <w:jc w:val="both"/>
            </w:pPr>
            <w:r>
              <w:rPr>
                <w:rFonts w:ascii="Times New Roman"/>
                <w:b w:val="false"/>
                <w:i w:val="false"/>
                <w:color w:val="000000"/>
                <w:sz w:val="20"/>
              </w:rPr>
              <w:t>
1) заявление с указанием наименования, назначения и области применения стандартного образца;</w:t>
            </w:r>
          </w:p>
          <w:p>
            <w:pPr>
              <w:spacing w:after="20"/>
              <w:ind w:left="20"/>
              <w:jc w:val="both"/>
            </w:pPr>
            <w:r>
              <w:rPr>
                <w:rFonts w:ascii="Times New Roman"/>
                <w:b w:val="false"/>
                <w:i w:val="false"/>
                <w:color w:val="000000"/>
                <w:sz w:val="20"/>
              </w:rPr>
              <w:t>
2) техническое задание на разработку стандартного образца;</w:t>
            </w:r>
          </w:p>
          <w:p>
            <w:pPr>
              <w:spacing w:after="20"/>
              <w:ind w:left="20"/>
              <w:jc w:val="both"/>
            </w:pPr>
            <w:r>
              <w:rPr>
                <w:rFonts w:ascii="Times New Roman"/>
                <w:b w:val="false"/>
                <w:i w:val="false"/>
                <w:color w:val="000000"/>
                <w:sz w:val="20"/>
              </w:rPr>
              <w:t>
3) научно-технический отчет, содержащий сведения о результатах работ по пунктам технического задания;</w:t>
            </w:r>
          </w:p>
          <w:p>
            <w:pPr>
              <w:spacing w:after="20"/>
              <w:ind w:left="20"/>
              <w:jc w:val="both"/>
            </w:pPr>
            <w:r>
              <w:rPr>
                <w:rFonts w:ascii="Times New Roman"/>
                <w:b w:val="false"/>
                <w:i w:val="false"/>
                <w:color w:val="000000"/>
                <w:sz w:val="20"/>
              </w:rPr>
              <w:t>
4) копии или реквизиты документов, подтверждающих поверку средств измерений и/или аттестацию методики выполнения измерения, использованных для определения аттестованных значений;</w:t>
            </w:r>
          </w:p>
          <w:p>
            <w:pPr>
              <w:spacing w:after="20"/>
              <w:ind w:left="20"/>
              <w:jc w:val="both"/>
            </w:pPr>
            <w:r>
              <w:rPr>
                <w:rFonts w:ascii="Times New Roman"/>
                <w:b w:val="false"/>
                <w:i w:val="false"/>
                <w:color w:val="000000"/>
                <w:sz w:val="20"/>
              </w:rPr>
              <w:t>
5) два экземпляра проектов описания типа стандартного образца, паспорт стандартного образца, этикетку стандартного образца;</w:t>
            </w:r>
          </w:p>
          <w:p>
            <w:pPr>
              <w:spacing w:after="20"/>
              <w:ind w:left="20"/>
              <w:jc w:val="both"/>
            </w:pPr>
            <w:r>
              <w:rPr>
                <w:rFonts w:ascii="Times New Roman"/>
                <w:b w:val="false"/>
                <w:i w:val="false"/>
                <w:color w:val="000000"/>
                <w:sz w:val="20"/>
              </w:rPr>
              <w:t>
6) один экземпляр стандартного образца или его фотографию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поверочной лабораторией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поверки:</w:t>
            </w:r>
          </w:p>
          <w:p>
            <w:pPr>
              <w:spacing w:after="20"/>
              <w:ind w:left="20"/>
              <w:jc w:val="both"/>
            </w:pPr>
            <w:r>
              <w:rPr>
                <w:rFonts w:ascii="Times New Roman"/>
                <w:b w:val="false"/>
                <w:i w:val="false"/>
                <w:color w:val="000000"/>
                <w:sz w:val="20"/>
              </w:rPr>
              <w:t>
1) предприятиями-разработчиками (изготовителями) средств измерений, при подготовке средств измерений к производству и выпуску в обращение в Республике Казахстан;</w:t>
            </w:r>
          </w:p>
          <w:p>
            <w:pPr>
              <w:spacing w:after="20"/>
              <w:ind w:left="20"/>
              <w:jc w:val="both"/>
            </w:pPr>
            <w:r>
              <w:rPr>
                <w:rFonts w:ascii="Times New Roman"/>
                <w:b w:val="false"/>
                <w:i w:val="false"/>
                <w:color w:val="000000"/>
                <w:sz w:val="20"/>
              </w:rPr>
              <w:t>
2) пользователями средств измерений при их эксплуатации;</w:t>
            </w:r>
          </w:p>
          <w:p>
            <w:pPr>
              <w:spacing w:after="20"/>
              <w:ind w:left="20"/>
              <w:jc w:val="both"/>
            </w:pPr>
            <w:r>
              <w:rPr>
                <w:rFonts w:ascii="Times New Roman"/>
                <w:b w:val="false"/>
                <w:i w:val="false"/>
                <w:color w:val="000000"/>
                <w:sz w:val="20"/>
              </w:rPr>
              <w:t>
3) физическими и юридическими лицами по заявке пользователя или изготовителя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фасованной и расфасованной продукции количеству продукции указанной на упаковке и (или) в товарно-сопроводительных документах, документах, подтверждающий факт приобретения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массы, объема, расхода или других величин, характеризующих количество отчуждаемой продукции количеству продукции указанной на упаковке и (или) в товарно-сопроводительных документах, в том числе документах, подтверждающий факт приобретения продукции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исправных средств измерений, погрешность которых не превышает допустимой погрешности данных средств измерений, при совершении торговых операций расфасованной продукции при ее реализации и продукции отчуждаемой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количество подтвержденных жалоб и обращений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о нарушениях в области обеспечения единства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или более подтвержденных жалоб или обращений о нарушениях в области обеспечения единства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Анализ официальных интернет-ресурсов государственных органов, средств массовой информации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официальных сообщений на интернет ресурсах государственных органов, в средствах массовой информации о нарушениях в области обеспечения единства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анализа сведений, представляемых государственными органами и организациями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о нарушениях в области обеспечения единства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Результаты мониторинга отчетности и сведений, представляемых субъектом контроля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Внесение в реестр недобросовестных поставщиков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сертификата о поверке или метрологической аттестации используемых средств измерений и испытательного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методик выполнения измерений без регистрации в реестре государственной системы обеспечения единства измерений в результате мониторинга портала государственных закупок и (или) отчета отраслевой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средств измерений, метрологической аттестации методик выполнения измерений без аккредитации в результате мониторинга портала государственных закупок и (или) отчета отраслевой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10</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24</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139-НҚ</w:t>
            </w:r>
          </w:p>
        </w:tc>
      </w:tr>
    </w:tbl>
    <w:bookmarkStart w:name="z2654" w:id="257"/>
    <w:p>
      <w:pPr>
        <w:spacing w:after="0"/>
        <w:ind w:left="0"/>
        <w:jc w:val="left"/>
      </w:pPr>
      <w:r>
        <w:rPr>
          <w:rFonts w:ascii="Times New Roman"/>
          <w:b/>
          <w:i w:val="false"/>
          <w:color w:val="000000"/>
        </w:rPr>
        <w:t xml:space="preserve"> Проверочный лист в области обеспечения единства измерений в отношении субъектов (объектов) контроля, осуществляющих виды деятельности, связанные с измерениями, применением средств измерений и эталонов единиц величин, стандартных образцов, методик выполнения измерений, методик поверки средств измерений установленных перечнями измерений, относящихся к государственному регулированию техническими регламентами, а также связанные с установлением соответствия количества фасованной изготовителем или продавцом продукции в упаковках любого вида, а также расфасованной продукции при ее реализации и продукции, отчуждаемой при совершении торговых операций</w:t>
      </w:r>
    </w:p>
    <w:bookmarkEnd w:id="257"/>
    <w:p>
      <w:pPr>
        <w:spacing w:after="0"/>
        <w:ind w:left="0"/>
        <w:jc w:val="both"/>
      </w:pPr>
      <w:bookmarkStart w:name="z2655" w:id="258"/>
      <w:r>
        <w:rPr>
          <w:rFonts w:ascii="Times New Roman"/>
          <w:b w:val="false"/>
          <w:i w:val="false"/>
          <w:color w:val="000000"/>
          <w:sz w:val="28"/>
        </w:rPr>
        <w:t>
      Государственный орган, назначивший проверку/</w:t>
      </w:r>
    </w:p>
    <w:bookmarkEnd w:id="258"/>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 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дата Наименование субъекта (объекта) контроля</w:t>
      </w:r>
    </w:p>
    <w:p>
      <w:pPr>
        <w:spacing w:after="0"/>
        <w:ind w:left="0"/>
        <w:jc w:val="both"/>
      </w:pPr>
      <w:r>
        <w:rPr>
          <w:rFonts w:ascii="Times New Roman"/>
          <w:b w:val="false"/>
          <w:i w:val="false"/>
          <w:color w:val="000000"/>
          <w:sz w:val="28"/>
        </w:rPr>
        <w:t>__________________________________ 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поверки средств измерений, перед выпуском в обращение, после ремонта, в период эксплуатации удостоверенной оттиском поверительного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метрологически аттестованных и зарегистрированных в реестре Государственной системы обеспечения единства измерений методик выполнения измерений, применяемых при измерениях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об утверждении типа средств измерений установленного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сертификата о метрологической аттестации средств измерений установленного образца, срок действия которого устанавливается при его выдаче, для средств измерений, выпускаемых в обращение в единичных экземплярах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калибровки эталонов единиц величин, поверки или калибровки средств измерений для передачи размеров единиц величин от государственных эталонов единиц величин, а в случае отсутствия в Республике Казахстан государственных эталонов единиц величин – от национальных эталонов единиц величин других государств, степень эквивалентности которых подтверждена в базе данных ключевых сличений Международного бюро мер и весов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сличения Государственных эталонов единиц величин с эталонами единиц величин Международного бюро мер и весов и национальными эталонами единиц величин других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применяемых методик выполнения измерений при испытаниях объектов исследований с целью оценки их параметров с установленной точностью, а также для проведения учетных операций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методики выполнения измерении в виде национального стандарта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метрологической аттестации методики выполнения измерений проводимые с целью установления (подтверждения) предъявляемых к ней метрологических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метрологической аттестации методики выполнения измерений в Государственном научном метрологическом центре, юридическими лицами, аккредитованными на проведение работ по метрологической аттестации методик выполнения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прошедшей экспертизу представленного комплекта документов на предмет подтверждения соответствия методики выполнения измерений установленным требованиям путем оценивания правильности (обоснованности):</w:t>
            </w:r>
          </w:p>
          <w:p>
            <w:pPr>
              <w:spacing w:after="20"/>
              <w:ind w:left="20"/>
              <w:jc w:val="both"/>
            </w:pPr>
            <w:r>
              <w:rPr>
                <w:rFonts w:ascii="Times New Roman"/>
                <w:b w:val="false"/>
                <w:i w:val="false"/>
                <w:color w:val="000000"/>
                <w:sz w:val="20"/>
              </w:rPr>
              <w:t>
1) модели измерений;</w:t>
            </w:r>
          </w:p>
          <w:p>
            <w:pPr>
              <w:spacing w:after="20"/>
              <w:ind w:left="20"/>
              <w:jc w:val="both"/>
            </w:pPr>
            <w:r>
              <w:rPr>
                <w:rFonts w:ascii="Times New Roman"/>
                <w:b w:val="false"/>
                <w:i w:val="false"/>
                <w:color w:val="000000"/>
                <w:sz w:val="20"/>
              </w:rPr>
              <w:t>
2) сведений, приведенных при описании бюджета неопределенности или структуры образования погрешности результата измерений, полученных при разработке методики выполнения измерений;</w:t>
            </w:r>
          </w:p>
          <w:p>
            <w:pPr>
              <w:spacing w:after="20"/>
              <w:ind w:left="20"/>
              <w:jc w:val="both"/>
            </w:pPr>
            <w:r>
              <w:rPr>
                <w:rFonts w:ascii="Times New Roman"/>
                <w:b w:val="false"/>
                <w:i w:val="false"/>
                <w:color w:val="000000"/>
                <w:sz w:val="20"/>
              </w:rPr>
              <w:t>
3) плана и объема экспериментальных исследований, включая методы отбора и подготовки проб;</w:t>
            </w:r>
          </w:p>
          <w:p>
            <w:pPr>
              <w:spacing w:after="20"/>
              <w:ind w:left="20"/>
              <w:jc w:val="both"/>
            </w:pPr>
            <w:r>
              <w:rPr>
                <w:rFonts w:ascii="Times New Roman"/>
                <w:b w:val="false"/>
                <w:i w:val="false"/>
                <w:color w:val="000000"/>
                <w:sz w:val="20"/>
              </w:rPr>
              <w:t>
4) выбора средств измерений, эталонов единиц величин, стандартных образцов, технических средств и материалов, использованных при проведении экспериментальных исследований методики выполнения измерений;</w:t>
            </w:r>
          </w:p>
          <w:p>
            <w:pPr>
              <w:spacing w:after="20"/>
              <w:ind w:left="20"/>
              <w:jc w:val="both"/>
            </w:pPr>
            <w:r>
              <w:rPr>
                <w:rFonts w:ascii="Times New Roman"/>
                <w:b w:val="false"/>
                <w:i w:val="false"/>
                <w:color w:val="000000"/>
                <w:sz w:val="20"/>
              </w:rPr>
              <w:t>
5) выбора условий проведения экспериментальных исследований методики выполнения измерений;</w:t>
            </w:r>
          </w:p>
          <w:p>
            <w:pPr>
              <w:spacing w:after="20"/>
              <w:ind w:left="20"/>
              <w:jc w:val="both"/>
            </w:pPr>
            <w:r>
              <w:rPr>
                <w:rFonts w:ascii="Times New Roman"/>
                <w:b w:val="false"/>
                <w:i w:val="false"/>
                <w:color w:val="000000"/>
                <w:sz w:val="20"/>
              </w:rPr>
              <w:t>
6) выбора способов и средств обработки результатов экспериментальных исследований методики выполнения измерений, включая программное обеспечение;</w:t>
            </w:r>
          </w:p>
          <w:p>
            <w:pPr>
              <w:spacing w:after="20"/>
              <w:ind w:left="20"/>
              <w:jc w:val="both"/>
            </w:pPr>
            <w:r>
              <w:rPr>
                <w:rFonts w:ascii="Times New Roman"/>
                <w:b w:val="false"/>
                <w:i w:val="false"/>
                <w:color w:val="000000"/>
                <w:sz w:val="20"/>
              </w:rPr>
              <w:t>
7) выбора способов представления характеристик погрешности или способов представления неопределенности;</w:t>
            </w:r>
          </w:p>
          <w:p>
            <w:pPr>
              <w:spacing w:after="20"/>
              <w:ind w:left="20"/>
              <w:jc w:val="both"/>
            </w:pPr>
            <w:r>
              <w:rPr>
                <w:rFonts w:ascii="Times New Roman"/>
                <w:b w:val="false"/>
                <w:i w:val="false"/>
                <w:color w:val="000000"/>
                <w:sz w:val="20"/>
              </w:rPr>
              <w:t>
8) выбора предложенных процедур контроля показателей точности результатов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дополнительных экспериментальных метрологических исследований методики выполнения измерений при необходимости подтверждения правильности выбора метода и средств измерений, а также полноты требований, содержащихся в методике выполнения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результатам экспертизы методики выполнения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выполнения измерений при положительных результатах метрологической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в случае признания методики выполнения измерений государствами-членами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аттестации методики выполнения измерений, в случае признания в странах Содружества Независимых Государств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повторной метрологической аттестации методики выполнения измерений при:</w:t>
            </w:r>
          </w:p>
          <w:p>
            <w:pPr>
              <w:spacing w:after="20"/>
              <w:ind w:left="20"/>
              <w:jc w:val="both"/>
            </w:pPr>
            <w:r>
              <w:rPr>
                <w:rFonts w:ascii="Times New Roman"/>
                <w:b w:val="false"/>
                <w:i w:val="false"/>
                <w:color w:val="000000"/>
                <w:sz w:val="20"/>
              </w:rPr>
              <w:t>
1) изменении исходных данных или метрологических характеристик методики выполнения измерений;</w:t>
            </w:r>
          </w:p>
          <w:p>
            <w:pPr>
              <w:spacing w:after="20"/>
              <w:ind w:left="20"/>
              <w:jc w:val="both"/>
            </w:pPr>
            <w:r>
              <w:rPr>
                <w:rFonts w:ascii="Times New Roman"/>
                <w:b w:val="false"/>
                <w:i w:val="false"/>
                <w:color w:val="000000"/>
                <w:sz w:val="20"/>
              </w:rPr>
              <w:t>
2) внесении изменений и дополнений в процедуру проведения измерений;</w:t>
            </w:r>
          </w:p>
          <w:p>
            <w:pPr>
              <w:spacing w:after="20"/>
              <w:ind w:left="20"/>
              <w:jc w:val="both"/>
            </w:pPr>
            <w:r>
              <w:rPr>
                <w:rFonts w:ascii="Times New Roman"/>
                <w:b w:val="false"/>
                <w:i w:val="false"/>
                <w:color w:val="000000"/>
                <w:sz w:val="20"/>
              </w:rPr>
              <w:t>
3) истечении срока действия свидетельства о метрологической аттестации методики выполнения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о возврате на доработку методики выполнения измерений при отрицательных результатах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зарегистрированных межгосударственных, национальных стандартов в области обеспечения единства измерений, устанавливающих методику выполнения измерения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выполнения измерений, зарегистрированного в реестре Государственной системы обеспечения единства измерений Республики Казахстан при положительных результатах метрологической экспертизы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Государственной системы обеспечения единства измерений метрологически аттестованной методики выполнения измерений разработанной в государстве-участнице "Соглашения о взаимном признании результатов испытаний с целью утверждения типа, метрологической аттестации, поверки и калибровки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одного экземпляра методики выполнения измерений, со штампом "Зарегистрировано", с указанием регистрационного номера, даты и срока действия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следующих документов для включения в число пользователей методики выполнения измерений других предприятий, если методика выполнения измерения зарегистрирована для использования в пределах одного предприятия:</w:t>
            </w:r>
          </w:p>
          <w:p>
            <w:pPr>
              <w:spacing w:after="20"/>
              <w:ind w:left="20"/>
              <w:jc w:val="both"/>
            </w:pPr>
            <w:r>
              <w:rPr>
                <w:rFonts w:ascii="Times New Roman"/>
                <w:b w:val="false"/>
                <w:i w:val="false"/>
                <w:color w:val="000000"/>
                <w:sz w:val="20"/>
              </w:rPr>
              <w:t>
1) заявки;</w:t>
            </w:r>
          </w:p>
          <w:p>
            <w:pPr>
              <w:spacing w:after="20"/>
              <w:ind w:left="20"/>
              <w:jc w:val="both"/>
            </w:pPr>
            <w:r>
              <w:rPr>
                <w:rFonts w:ascii="Times New Roman"/>
                <w:b w:val="false"/>
                <w:i w:val="false"/>
                <w:color w:val="000000"/>
                <w:sz w:val="20"/>
              </w:rPr>
              <w:t>
2) учтенного экземпляра методики выполнения измерений;</w:t>
            </w:r>
          </w:p>
          <w:p>
            <w:pPr>
              <w:spacing w:after="20"/>
              <w:ind w:left="20"/>
              <w:jc w:val="both"/>
            </w:pPr>
            <w:r>
              <w:rPr>
                <w:rFonts w:ascii="Times New Roman"/>
                <w:b w:val="false"/>
                <w:i w:val="false"/>
                <w:color w:val="000000"/>
                <w:sz w:val="20"/>
              </w:rPr>
              <w:t>
3) копии свидетельства об аттестации методики выполнения измерений;</w:t>
            </w:r>
          </w:p>
          <w:p>
            <w:pPr>
              <w:spacing w:after="20"/>
              <w:ind w:left="20"/>
              <w:jc w:val="both"/>
            </w:pPr>
            <w:r>
              <w:rPr>
                <w:rFonts w:ascii="Times New Roman"/>
                <w:b w:val="false"/>
                <w:i w:val="false"/>
                <w:color w:val="000000"/>
                <w:sz w:val="20"/>
              </w:rPr>
              <w:t>
4) разрешения от держателя подлинника методики выполнения измерений на ее использование (оригинал либо нотариально заверенная копия)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Перевод методик выполнения измерений используемых для получения результатов измерений с наивысшей точностью, примененных для оценки правильности измеренных значений величины, полученных с помощью других методик выполнения измерений величин того же рода, а также для калибровки средств измерений или для определения характеристик стандартных образцов, путем аттестации в референтную методику выполнения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метрологической аттестации методики выполнения измерений, принимаемой в качестве референтной, Государственным научным метрологическим центром и аккредитованным юридическими лицами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требования, согласно которого в случае метрологической аттестации методик выполнения измерений в качестве референтной из числа метрологически аттестованных методик выполнения измерений при неизменности приписанных характеристик дополнительно к ранее проведенным исследованиям проводятся теоретические и экспериментальные исследования и подтверждение соответствия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свидетельства о метрологической аттестации методики (метода) измерений, в случае если аттестация референтной методики проводится в отношении вновь разработанной методики (метода)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документов направленных исполнителем по окончанию проведения метрологической аттестации референтной методики выполнения измерений для ее утверждения в уполномоченный орган в области обеспечения единства измерений:</w:t>
            </w:r>
          </w:p>
          <w:p>
            <w:pPr>
              <w:spacing w:after="20"/>
              <w:ind w:left="20"/>
              <w:jc w:val="both"/>
            </w:pPr>
            <w:r>
              <w:rPr>
                <w:rFonts w:ascii="Times New Roman"/>
                <w:b w:val="false"/>
                <w:i w:val="false"/>
                <w:color w:val="000000"/>
                <w:sz w:val="20"/>
              </w:rPr>
              <w:t>
1) документ, содержащий референтную методику выполнения измерений (описание референтной методики выполнения измерений);</w:t>
            </w:r>
          </w:p>
          <w:p>
            <w:pPr>
              <w:spacing w:after="20"/>
              <w:ind w:left="20"/>
              <w:jc w:val="both"/>
            </w:pPr>
            <w:r>
              <w:rPr>
                <w:rFonts w:ascii="Times New Roman"/>
                <w:b w:val="false"/>
                <w:i w:val="false"/>
                <w:color w:val="000000"/>
                <w:sz w:val="20"/>
              </w:rPr>
              <w:t>
2) заключение о соответствии референтной методики выполнения измерений, установленным метрологическим требованиям к измерениям;</w:t>
            </w:r>
          </w:p>
          <w:p>
            <w:pPr>
              <w:spacing w:after="20"/>
              <w:ind w:left="20"/>
              <w:jc w:val="both"/>
            </w:pPr>
            <w:r>
              <w:rPr>
                <w:rFonts w:ascii="Times New Roman"/>
                <w:b w:val="false"/>
                <w:i w:val="false"/>
                <w:color w:val="000000"/>
                <w:sz w:val="20"/>
              </w:rPr>
              <w:t>
3) отчет, утвержденный руководителем исполнителя и содержащий результаты теоретических и (или) экспериментальных исследований;</w:t>
            </w:r>
          </w:p>
          <w:p>
            <w:pPr>
              <w:spacing w:after="20"/>
              <w:ind w:left="20"/>
              <w:jc w:val="both"/>
            </w:pPr>
            <w:r>
              <w:rPr>
                <w:rFonts w:ascii="Times New Roman"/>
                <w:b w:val="false"/>
                <w:i w:val="false"/>
                <w:color w:val="000000"/>
                <w:sz w:val="20"/>
              </w:rPr>
              <w:t>
4) копию свидетельства о метрологической аттестации методики выполнения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свидетельстве о метрологической аттестации референтной методики выполнения измерений штампа: "Зарегистрировано в реестре государственной системы обеспечения единства измерений, в качестве референтной методики выполнения измерений" с указанием регистрационного номера и даты регистрации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в референтную методику выполнения измерений разработчиком и представление на аттестацию и утверждение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государственных эталонов единиц величин, предназначенных для воспроизведения и (или) хранения единиц величин (кратных либо дольных значений единиц величин) с целью передачи их размеров эталонам единиц величин, средствам измерений данных величин на территории Республики Казахстан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эталонов единиц величин у субъектов аккредитации предназначенные для воспроизведения и (или) хранения единиц величин (кратных либо дольных значений единиц величин) с целью передачи их размеров другим средствам измерений данных величин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государственных эталонов единиц величин в соответствии с техническим заданием, в котором устанавливаются требования к метрологическим и техническим характеристикам эталонов единиц величин, а также этапы их создания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эталонов единиц величин субъектов аккредитации в соответствии с техническим заданием или документом в области обеспечения единства измерений, устанавливающим требования к метрологическим и техническим характеристикам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ранее утвержденного государственного эталона единиц величин из числа государственных или перевод в более низкий разряд только по результатам экспериментальных исследований или в случае создания и утверждения нового государственного эталона, с более высокими метрологическими характеристиками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Регистрация в реестре государственной системы обеспечения единства измерений государственных эталонов единиц величин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Формирование и утверждение перечня эталонов единиц величин по форме, согласно приложения к правилам создания, утверждения, хранения, применения и сличения государственных эталонов единиц величин и эталонов единиц величин субъектов</w:t>
            </w:r>
          </w:p>
          <w:p>
            <w:pPr>
              <w:spacing w:after="20"/>
              <w:ind w:left="20"/>
              <w:jc w:val="both"/>
            </w:pPr>
            <w:r>
              <w:rPr>
                <w:rFonts w:ascii="Times New Roman"/>
                <w:b w:val="false"/>
                <w:i w:val="false"/>
                <w:color w:val="000000"/>
                <w:sz w:val="20"/>
              </w:rPr>
              <w:t xml:space="preserve">
аккредитации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Субъекты аккредитации в случае внесения изменений в утвержденный перечень эталонов единиц величин в течение 30 (тридцать) рабочих дней со дня внесения изменений направляют соответствующие сведения в Государственный научный метрологический центр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государственных эталонов единиц величин для работ, связанных с воспроизведением, хранением и передачей размеров единиц величин, сличениями эталонов единиц величин, а также для научно-исследовательских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и применение Государственных эталонов единиц величин осуществляется в соответствии с нормативным документом по стандартизации, эталонов единиц величин субъектов аккредитации в соответствии с руководством по эксплуатации или соответствующим разделом технического описания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Субъекты аккредитации осуществляют ведение журнала, в котором регистрируются работы, проведенные на эталоне единиц величин, в том числе профилактические и ремонтные работы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Поверочные лаборатории передают данные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первичной поверки на средства измерений, прошедшие испытания для целей утверждения типа и на соответствие утвержденному типу, и внесенные в реестр государственной системы обеспечения единства измерений, а также выпускаемые из производства и после ремонта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периодической поверки средств измерений, находящихся в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внеочередной поверки при эксплуатации средств измерений до окончания срока действия сертификата о поверке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инспекционной поверки средств измерений при осуществлении государственного метрологического контроля и метрологического контроля для установления их исправности, правильности результатов последней поверки, уточнения принятой периодичности и установления правильности эксплуатации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экспертной поверки, при возникновении спорных вопросов по метрологическим характеристикам, исправности средств измерений и пригодности их к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прослеживаемости применяемых для поверки эталонов единиц величин, поверяемых средств измерений до государственных эталонов единиц величин Республики Казахстан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поверки средств измерений аттестованными поверителями аккредитованных юридических лиц в соответствии с методикой поверки средств измерений на договорных условиях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средств измерений на основании заявки владельца (пользователя) средства измерений, изготовителя средств измерений, государственных органов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средств измерений в стационарных или передвижных поверочных лабораториях,</w:t>
            </w:r>
          </w:p>
          <w:p>
            <w:pPr>
              <w:spacing w:after="20"/>
              <w:ind w:left="20"/>
              <w:jc w:val="both"/>
            </w:pPr>
            <w:r>
              <w:rPr>
                <w:rFonts w:ascii="Times New Roman"/>
                <w:b w:val="false"/>
                <w:i w:val="false"/>
                <w:color w:val="000000"/>
                <w:sz w:val="20"/>
              </w:rPr>
              <w:t>
непосредственно на местах расположения средств измерений (местах их изготовления, ремонта или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Средства измерений на поверку представляются расконсервированными, очищенными от грязи пыли, вместе с паспортом, техническим описанием, инструкцией по эксплуатации, методикой поверки и сертификатом о поверке средств измерений (при наличии), а также необходимыми комплектующими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поверки средств измерений в ограниченном диапазоне или для применяемого числа диапазонов величин (на средство измерений наносится заявителем отчетливая надпись или условное обозначение, определяющие область их применения)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результатов первичной, периодической и внеочередной поверок средств измерений осуществляемых в соответствии с методиками поверки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сертификата о поверке средств измерений указывается с учетом периодичности поверки средства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извещения о непригодности к применению средства измерения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сведений в поверочной лаборатории по передаче заявителю средства измерения с оформленным сертификатом или извещением о непригодности, а также передаче в Государственный научный метрологический центр сведений о поверенном средстве измерений для осуществления электронного учета данных о поверяемых средствах измерений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заключения, по результатам экспертной поверки, проводимой по письменному обращению государственных органов, физических или юридических лиц при возникновении спорных вопросов по метрологическим характеристикам, об исправности средств измерений и пригодности средств измерений к эксплуатации и правильности эксплуатации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результатов поверки средств измерений, проведенной в государстве-члене Евразийского экономического союза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Признание первичной поверки средств измерений, проводимой лабораториями или иными подразделениями зарубежных фирм выполняющими поверку (калибровку)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выявления ошибок (опечаток) в сертификате о поверке средств измерений, допускается его замена с указанием номера и даты выдачи заменяемого сертификата о поверке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периодичности поверки средств измерений (первичное значение) при проведении испытаний для целей утверждения типа или метрологической 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единого интервала между поверками (межповерочный интервал) при определении периодичности поверки для группы однотипных средств измерений для всех средств измерений данной группы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назначении периодичности поверки применяются критерии двух видов – нормируемые показатели метрологической надежности (нестабильности) средства измерений и экономический критерий оптимальности периодичности поверки, обеспечивающий максимальный экономический эффект эксплуатации средства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периодичности поверки, на основе предложений Государственным научным метрологическим центром, заинтересованных физических или юридических лиц с учетом результатов поверки средств измерений при эксплуатации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значения периодичности поверки в календарном времени для средства измерений, изменение метрологических характеристик которых обусловлено старением (не зависит от интенсивности эксплуатации средства измерений), и в значениях наработки для средства измерений, изменение метрологических характеристик которых является следствием износа элементов средств измерений (зависящего от интенсивности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значения периодичности поверки до 1 года в месяцах (эксплуатации или наработки) из ряда: 0,25; 0,5; 1; 2; 3; 4; 5; 6; 7; 8; 9; 10; 11; 12; и свыше 12 месяцев в годах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Назначение периодичности поверки осуществляется на основании моделирования зависимости показателей точности или метрологической надежности средств измерений от времени (наработки), прошедшего с момента последней поверки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документов в Государственный научный метрологический центр не менее чем за один месяц до истечения срока действия ранее выданного сертификата для переаттестации поверителя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регистрации в реестре государственной системы обеспечения единства измерений поверителя, прошедшего аттестацию (переаттестацию) с указанием номера регистрации на сертификате об аттестации (переаттестации)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Исключение из реестра государственной системы обеспечения единства измерений в срок пять рабочих дней со дня принятия решения об отзыве сертификата и направление уведомления в организацию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Руководство организации, в которой работает поверитель, в срок трех рабочих дней со дня получения уведомления направляет сертификат в Государственный научный метрологический центр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переаттестации поверителя документы представляются в Государственный научный метрологический центр не менее чем за один месяц до истечения срока действия ранее выданного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результатам метрологической экспертизы Государственный научный метрологический центр направляет разработчику нормативно правового акта заключение по метрологической экспертизе нормативного правового акта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утери сертификата поверитель:</w:t>
            </w:r>
          </w:p>
          <w:p>
            <w:pPr>
              <w:spacing w:after="20"/>
              <w:ind w:left="20"/>
              <w:jc w:val="both"/>
            </w:pPr>
            <w:r>
              <w:rPr>
                <w:rFonts w:ascii="Times New Roman"/>
                <w:b w:val="false"/>
                <w:i w:val="false"/>
                <w:color w:val="000000"/>
                <w:sz w:val="20"/>
              </w:rPr>
              <w:t>
1) опубликовывает в средствах массовой информации, распространяемых на всей территории Республики Казахстан, сведения о признании недействительным сертификата с указанием номера, даты выдачи и срока действия сертификата;</w:t>
            </w:r>
          </w:p>
          <w:p>
            <w:pPr>
              <w:spacing w:after="20"/>
              <w:ind w:left="20"/>
              <w:jc w:val="both"/>
            </w:pPr>
            <w:r>
              <w:rPr>
                <w:rFonts w:ascii="Times New Roman"/>
                <w:b w:val="false"/>
                <w:i w:val="false"/>
                <w:color w:val="000000"/>
                <w:sz w:val="20"/>
              </w:rPr>
              <w:t>
2) подает заявление в Государственный научный метрологический центр о признании сертификата недействительным и о выдаче дубликата сертификата с указанием номера сертификата, даты выдачи, срока действия, с приложением документа, подтверждающего опубликование сведений о признании недействительным сертификата с указанием номера, даты выдачи и срока действия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дубликата сертификата поверителя в срок 10 (десять) рабочих дней со дня подачи заявления в Государственный научный метрологический центр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заявления поверителем в Государственный научный метрологический центр о выдаче дубликата сертификата, с указанием номера сертификата, даты выдачи, срока действия с приложением испорченного оригинала сертификата в случае порчи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дубликате сертификата в правом верхнем углу указывается слово "Дубликат", с сохранением номера, даты выдачи и срока действия ранее выданного оригинала сертификата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годовых поверительных клейм в случаях, если для средства измерений установлен межповерочный интервал год и более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квартальных поверительных клейм, в случаях, если для средства измерений установлен межповерочный интервал менее одного года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Индивидуальный знак поверителя средств измерений присваивается руководителем поверочной лаборатории и состоит из одного символа, обозначаемого буквой казахского или латинского алфавита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Поверочные лаборатории, вновь аккредитованные на право поверки средств измерений, представляют заявку на изготовление поверительных клейм в Государственный научный метрологический центр после получения аттестата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поверительных клейм в поверочных лабораториях возлагается на уполномоченное лицо, утвержденное руководителем поверочной лаборатории, которое ведет журналы выдачи и приемки поверительных клейм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Хранение поверительных клейм и журнала в несгораемом шкафу, доступ к которому имеет руководитель поверочной лаборатории или уполномоченное лицо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учета и проверки на ежеквартальной основе состояния поверительных клейм руководителем поверочной лаборатории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в журнале отметки поверителя средств измерений, о сдаче неиспользованных поверительных клейм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акта гашения и/или уничтожения поверительных клейм в случае повреждения или истечения срока применения поверительных клейм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поверительных клейм нижеследующим способам нанесения:</w:t>
            </w:r>
          </w:p>
          <w:p>
            <w:pPr>
              <w:spacing w:after="20"/>
              <w:ind w:left="20"/>
              <w:jc w:val="both"/>
            </w:pPr>
            <w:r>
              <w:rPr>
                <w:rFonts w:ascii="Times New Roman"/>
                <w:b w:val="false"/>
                <w:i w:val="false"/>
                <w:color w:val="000000"/>
                <w:sz w:val="20"/>
              </w:rPr>
              <w:t>
1)ударный (металлическое и латунное клейма);</w:t>
            </w:r>
          </w:p>
          <w:p>
            <w:pPr>
              <w:spacing w:after="20"/>
              <w:ind w:left="20"/>
              <w:jc w:val="both"/>
            </w:pPr>
            <w:r>
              <w:rPr>
                <w:rFonts w:ascii="Times New Roman"/>
                <w:b w:val="false"/>
                <w:i w:val="false"/>
                <w:color w:val="000000"/>
                <w:sz w:val="20"/>
              </w:rPr>
              <w:t>
2) наклеивание (самоклеящийся лейбл);</w:t>
            </w:r>
          </w:p>
          <w:p>
            <w:pPr>
              <w:spacing w:after="20"/>
              <w:ind w:left="20"/>
              <w:jc w:val="both"/>
            </w:pPr>
            <w:r>
              <w:rPr>
                <w:rFonts w:ascii="Times New Roman"/>
                <w:b w:val="false"/>
                <w:i w:val="false"/>
                <w:color w:val="000000"/>
                <w:sz w:val="20"/>
              </w:rPr>
              <w:t xml:space="preserve">
 пломбирование (пластиковая пломба).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Метрологическая экспертиза проектов и действующих нормативных правовых актов, технических регламентов, а также проектов межгосударственных и национальных стандартов (за исключением стандартов, разрабатываемых на основе международных и региональных стандартов с идентичной степенью соответствия), содержащих требования к измерениям, средствам измерений, в том числе стандартным образцам является обязательной и проводится Государственным научным метрологическим центром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метрологической экспертизы стандартов на продукцию и услуги, работы (процессы), методы контроля (испытаний, измерений, анализа) которые устанавливают:</w:t>
            </w:r>
          </w:p>
          <w:p>
            <w:pPr>
              <w:spacing w:after="20"/>
              <w:ind w:left="20"/>
              <w:jc w:val="both"/>
            </w:pPr>
            <w:r>
              <w:rPr>
                <w:rFonts w:ascii="Times New Roman"/>
                <w:b w:val="false"/>
                <w:i w:val="false"/>
                <w:color w:val="000000"/>
                <w:sz w:val="20"/>
              </w:rPr>
              <w:t>
1) требования к характеристикам точности измерений, достоверности измерительного контроля;</w:t>
            </w:r>
          </w:p>
          <w:p>
            <w:pPr>
              <w:spacing w:after="20"/>
              <w:ind w:left="20"/>
              <w:jc w:val="both"/>
            </w:pPr>
            <w:r>
              <w:rPr>
                <w:rFonts w:ascii="Times New Roman"/>
                <w:b w:val="false"/>
                <w:i w:val="false"/>
                <w:color w:val="000000"/>
                <w:sz w:val="20"/>
              </w:rPr>
              <w:t>
2) требования к методикам выполнения измерений, средствам измерений, стандартным образцам, аттестованным смесям;</w:t>
            </w:r>
          </w:p>
          <w:p>
            <w:pPr>
              <w:spacing w:after="20"/>
              <w:ind w:left="20"/>
              <w:jc w:val="both"/>
            </w:pPr>
            <w:r>
              <w:rPr>
                <w:rFonts w:ascii="Times New Roman"/>
                <w:b w:val="false"/>
                <w:i w:val="false"/>
                <w:color w:val="000000"/>
                <w:sz w:val="20"/>
              </w:rPr>
              <w:t>
3) методики выполнения измерений, анализа, испытаний и измерительного контроля;</w:t>
            </w:r>
          </w:p>
          <w:p>
            <w:pPr>
              <w:spacing w:after="20"/>
              <w:ind w:left="20"/>
              <w:jc w:val="both"/>
            </w:pPr>
            <w:r>
              <w:rPr>
                <w:rFonts w:ascii="Times New Roman"/>
                <w:b w:val="false"/>
                <w:i w:val="false"/>
                <w:color w:val="000000"/>
                <w:sz w:val="20"/>
              </w:rPr>
              <w:t>
4) данные о свойствах веществ и материалов, в том числе стандартные справочные данные;</w:t>
            </w:r>
          </w:p>
          <w:p>
            <w:pPr>
              <w:spacing w:after="20"/>
              <w:ind w:left="20"/>
              <w:jc w:val="both"/>
            </w:pPr>
            <w:r>
              <w:rPr>
                <w:rFonts w:ascii="Times New Roman"/>
                <w:b w:val="false"/>
                <w:i w:val="false"/>
                <w:color w:val="000000"/>
                <w:sz w:val="20"/>
              </w:rPr>
              <w:t>
5) применение стандартных образцов;</w:t>
            </w:r>
          </w:p>
          <w:p>
            <w:pPr>
              <w:spacing w:after="20"/>
              <w:ind w:left="20"/>
              <w:jc w:val="both"/>
            </w:pPr>
            <w:r>
              <w:rPr>
                <w:rFonts w:ascii="Times New Roman"/>
                <w:b w:val="false"/>
                <w:i w:val="false"/>
                <w:color w:val="000000"/>
                <w:sz w:val="20"/>
              </w:rPr>
              <w:t>
6) методики поверки и калибровки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утверждении типа стандартного образца принимается уполномоченным органом осуществляющим государственное регулирование в области технического регулирования и метрологии на основании положительных результатов метрологической экспертизы, проводимой Государственным научным метрологическим центром и удостоверяется сертификатом об утверждении типа стандартного образца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проведения метрологической экспертизы документов по разработке стандартного образца заявитель направляет в Государственный научный метрологический центр следующие документы:</w:t>
            </w:r>
          </w:p>
          <w:p>
            <w:pPr>
              <w:spacing w:after="20"/>
              <w:ind w:left="20"/>
              <w:jc w:val="both"/>
            </w:pPr>
            <w:r>
              <w:rPr>
                <w:rFonts w:ascii="Times New Roman"/>
                <w:b w:val="false"/>
                <w:i w:val="false"/>
                <w:color w:val="000000"/>
                <w:sz w:val="20"/>
              </w:rPr>
              <w:t>
1) заявление с указанием наименования, назначения и области применения стандартного образца;</w:t>
            </w:r>
          </w:p>
          <w:p>
            <w:pPr>
              <w:spacing w:after="20"/>
              <w:ind w:left="20"/>
              <w:jc w:val="both"/>
            </w:pPr>
            <w:r>
              <w:rPr>
                <w:rFonts w:ascii="Times New Roman"/>
                <w:b w:val="false"/>
                <w:i w:val="false"/>
                <w:color w:val="000000"/>
                <w:sz w:val="20"/>
              </w:rPr>
              <w:t>
2) техническое задание на разработку стандартного образца;</w:t>
            </w:r>
          </w:p>
          <w:p>
            <w:pPr>
              <w:spacing w:after="20"/>
              <w:ind w:left="20"/>
              <w:jc w:val="both"/>
            </w:pPr>
            <w:r>
              <w:rPr>
                <w:rFonts w:ascii="Times New Roman"/>
                <w:b w:val="false"/>
                <w:i w:val="false"/>
                <w:color w:val="000000"/>
                <w:sz w:val="20"/>
              </w:rPr>
              <w:t>
3) научно-технический отчет, содержащий сведения о результатах работ по пунктам технического задания;</w:t>
            </w:r>
          </w:p>
          <w:p>
            <w:pPr>
              <w:spacing w:after="20"/>
              <w:ind w:left="20"/>
              <w:jc w:val="both"/>
            </w:pPr>
            <w:r>
              <w:rPr>
                <w:rFonts w:ascii="Times New Roman"/>
                <w:b w:val="false"/>
                <w:i w:val="false"/>
                <w:color w:val="000000"/>
                <w:sz w:val="20"/>
              </w:rPr>
              <w:t>
4) копии или реквизиты документов, подтверждающих поверку средств измерений и/или аттестацию методики выполнения измерения, использованных для определения аттестованных значений;</w:t>
            </w:r>
          </w:p>
          <w:p>
            <w:pPr>
              <w:spacing w:after="20"/>
              <w:ind w:left="20"/>
              <w:jc w:val="both"/>
            </w:pPr>
            <w:r>
              <w:rPr>
                <w:rFonts w:ascii="Times New Roman"/>
                <w:b w:val="false"/>
                <w:i w:val="false"/>
                <w:color w:val="000000"/>
                <w:sz w:val="20"/>
              </w:rPr>
              <w:t>
5) два экземпляра проектов описания типа стандартного образца, паспорт стандартного образца, этикетку стандартного образца;</w:t>
            </w:r>
          </w:p>
          <w:p>
            <w:pPr>
              <w:spacing w:after="20"/>
              <w:ind w:left="20"/>
              <w:jc w:val="both"/>
            </w:pPr>
            <w:r>
              <w:rPr>
                <w:rFonts w:ascii="Times New Roman"/>
                <w:b w:val="false"/>
                <w:i w:val="false"/>
                <w:color w:val="000000"/>
                <w:sz w:val="20"/>
              </w:rPr>
              <w:t>
6) один экземпляр стандартного образца или его фотографию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Передача данных поверочной лабораторией о поверяемых средствах измерений по результатам проведенной поверки средств измерений через личный кабинет информационной системы Государственного научного метрологического центра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Разработка методики поверки:</w:t>
            </w:r>
          </w:p>
          <w:p>
            <w:pPr>
              <w:spacing w:after="20"/>
              <w:ind w:left="20"/>
              <w:jc w:val="both"/>
            </w:pPr>
            <w:r>
              <w:rPr>
                <w:rFonts w:ascii="Times New Roman"/>
                <w:b w:val="false"/>
                <w:i w:val="false"/>
                <w:color w:val="000000"/>
                <w:sz w:val="20"/>
              </w:rPr>
              <w:t>
1) предприятиями-разработчиками (изготовителями) средств измерений, при подготовке средств измерений к производству и выпуску в обращение в Республике Казахстан;</w:t>
            </w:r>
          </w:p>
          <w:p>
            <w:pPr>
              <w:spacing w:after="20"/>
              <w:ind w:left="20"/>
              <w:jc w:val="both"/>
            </w:pPr>
            <w:r>
              <w:rPr>
                <w:rFonts w:ascii="Times New Roman"/>
                <w:b w:val="false"/>
                <w:i w:val="false"/>
                <w:color w:val="000000"/>
                <w:sz w:val="20"/>
              </w:rPr>
              <w:t>
2) пользователями средств измерений при их эксплуатации;</w:t>
            </w:r>
          </w:p>
          <w:p>
            <w:pPr>
              <w:spacing w:after="20"/>
              <w:ind w:left="20"/>
              <w:jc w:val="both"/>
            </w:pPr>
            <w:r>
              <w:rPr>
                <w:rFonts w:ascii="Times New Roman"/>
                <w:b w:val="false"/>
                <w:i w:val="false"/>
                <w:color w:val="000000"/>
                <w:sz w:val="20"/>
              </w:rPr>
              <w:t>
3) физическими и юридическими лицами по заявке пользователя или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количества фасованной и расфасованной продукции количеству продукции указанной на упаковке и (или) в товарно-сопроводительных документах, документах, подтверждающий факт приобретения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массы, объема, расхода или других величин, характеризующих количество отчуждаемой продукции количеству продукции указанной на упаковке и (или) в товарно-сопроводительных документах, в том числе документах, подтверждающий факт приобретения продукции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исправных средств измерений, погрешность которых не превышает допустимой погрешности данных средств измерений, при совершении торговых операций расфасованной продукции при ее реализации и продукции отчуждаемой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697" w:id="259"/>
      <w:r>
        <w:rPr>
          <w:rFonts w:ascii="Times New Roman"/>
          <w:b w:val="false"/>
          <w:i w:val="false"/>
          <w:color w:val="000000"/>
          <w:sz w:val="28"/>
        </w:rPr>
        <w:t>
      Должностное (ые) лицо (а)</w:t>
      </w:r>
    </w:p>
    <w:bookmarkEnd w:id="259"/>
    <w:p>
      <w:pPr>
        <w:spacing w:after="0"/>
        <w:ind w:left="0"/>
        <w:jc w:val="both"/>
      </w:pPr>
      <w:r>
        <w:rPr>
          <w:rFonts w:ascii="Times New Roman"/>
          <w:b w:val="false"/>
          <w:i w:val="false"/>
          <w:color w:val="000000"/>
          <w:sz w:val="28"/>
        </w:rPr>
        <w:t>____________ ___________ 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___________________ 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23</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140-НҚ</w:t>
            </w:r>
          </w:p>
        </w:tc>
      </w:tr>
    </w:tbl>
    <w:bookmarkStart w:name="z2700" w:id="260"/>
    <w:p>
      <w:pPr>
        <w:spacing w:after="0"/>
        <w:ind w:left="0"/>
        <w:jc w:val="left"/>
      </w:pPr>
      <w:r>
        <w:rPr>
          <w:rFonts w:ascii="Times New Roman"/>
          <w:b/>
          <w:i w:val="false"/>
          <w:color w:val="000000"/>
        </w:rPr>
        <w:t xml:space="preserve"> Критерии оценки степени риска за соблюдением законодательства Республики Казахстан об аккредитации в области оценки соответствия</w:t>
      </w:r>
    </w:p>
    <w:bookmarkEnd w:id="260"/>
    <w:bookmarkStart w:name="z2701" w:id="261"/>
    <w:p>
      <w:pPr>
        <w:spacing w:after="0"/>
        <w:ind w:left="0"/>
        <w:jc w:val="left"/>
      </w:pPr>
      <w:r>
        <w:rPr>
          <w:rFonts w:ascii="Times New Roman"/>
          <w:b/>
          <w:i w:val="false"/>
          <w:color w:val="000000"/>
        </w:rPr>
        <w:t xml:space="preserve"> Глава 1. Общие положения</w:t>
      </w:r>
    </w:p>
    <w:bookmarkEnd w:id="261"/>
    <w:bookmarkStart w:name="z2702" w:id="262"/>
    <w:p>
      <w:pPr>
        <w:spacing w:after="0"/>
        <w:ind w:left="0"/>
        <w:jc w:val="both"/>
      </w:pPr>
      <w:r>
        <w:rPr>
          <w:rFonts w:ascii="Times New Roman"/>
          <w:b w:val="false"/>
          <w:i w:val="false"/>
          <w:color w:val="000000"/>
          <w:sz w:val="28"/>
        </w:rPr>
        <w:t xml:space="preserve">
      1. Настоящие Критерии оценки степени риска для отбора субъектов (объектов) контроля в области законодательства об аккредитации и оценки соответствия (далее – Критерии) разработаны в соответствии с </w:t>
      </w:r>
      <w:r>
        <w:rPr>
          <w:rFonts w:ascii="Times New Roman"/>
          <w:b w:val="false"/>
          <w:i w:val="false"/>
          <w:color w:val="000000"/>
          <w:sz w:val="28"/>
        </w:rPr>
        <w:t>пунктами 5</w:t>
      </w:r>
      <w:r>
        <w:rPr>
          <w:rFonts w:ascii="Times New Roman"/>
          <w:b w:val="false"/>
          <w:i w:val="false"/>
          <w:color w:val="000000"/>
          <w:sz w:val="28"/>
        </w:rPr>
        <w:t xml:space="preserve"> и </w:t>
      </w:r>
      <w:r>
        <w:rPr>
          <w:rFonts w:ascii="Times New Roman"/>
          <w:b w:val="false"/>
          <w:i w:val="false"/>
          <w:color w:val="000000"/>
          <w:sz w:val="28"/>
        </w:rPr>
        <w:t>6</w:t>
      </w:r>
      <w:r>
        <w:rPr>
          <w:rFonts w:ascii="Times New Roman"/>
          <w:b w:val="false"/>
          <w:i w:val="false"/>
          <w:color w:val="000000"/>
          <w:sz w:val="28"/>
        </w:rPr>
        <w:t xml:space="preserve"> статьи 141 и </w:t>
      </w:r>
      <w:r>
        <w:rPr>
          <w:rFonts w:ascii="Times New Roman"/>
          <w:b w:val="false"/>
          <w:i w:val="false"/>
          <w:color w:val="000000"/>
          <w:sz w:val="28"/>
        </w:rPr>
        <w:t>пунктом 1</w:t>
      </w:r>
      <w:r>
        <w:rPr>
          <w:rFonts w:ascii="Times New Roman"/>
          <w:b w:val="false"/>
          <w:i w:val="false"/>
          <w:color w:val="000000"/>
          <w:sz w:val="28"/>
        </w:rPr>
        <w:t xml:space="preserve"> статьи 143 Предпринимательского кодекса Республики Казахстан (далее – Кодекс) и </w:t>
      </w:r>
      <w:r>
        <w:rPr>
          <w:rFonts w:ascii="Times New Roman"/>
          <w:b w:val="false"/>
          <w:i w:val="false"/>
          <w:color w:val="000000"/>
          <w:sz w:val="28"/>
        </w:rPr>
        <w:t>Правилами</w:t>
      </w:r>
      <w:r>
        <w:rPr>
          <w:rFonts w:ascii="Times New Roman"/>
          <w:b w:val="false"/>
          <w:i w:val="false"/>
          <w:color w:val="000000"/>
          <w:sz w:val="28"/>
        </w:rPr>
        <w:t xml:space="preserve"> формирования регулирующими государственными органами системы оценки и управления рисками, утвержденными приказом исполняющего обязанности Министра национальной экономики Республики Казахстан от 22 июня 2022 года № 48 (зарегистрирован в Реестре государственной регистрации нормативных правовых актов под № 28577).</w:t>
      </w:r>
    </w:p>
    <w:bookmarkEnd w:id="262"/>
    <w:bookmarkStart w:name="z2703" w:id="263"/>
    <w:p>
      <w:pPr>
        <w:spacing w:after="0"/>
        <w:ind w:left="0"/>
        <w:jc w:val="both"/>
      </w:pPr>
      <w:r>
        <w:rPr>
          <w:rFonts w:ascii="Times New Roman"/>
          <w:b w:val="false"/>
          <w:i w:val="false"/>
          <w:color w:val="000000"/>
          <w:sz w:val="28"/>
        </w:rPr>
        <w:t>
      2. В настоящих Критериях используются следующие понятия:</w:t>
      </w:r>
    </w:p>
    <w:bookmarkEnd w:id="263"/>
    <w:bookmarkStart w:name="z2704" w:id="264"/>
    <w:p>
      <w:pPr>
        <w:spacing w:after="0"/>
        <w:ind w:left="0"/>
        <w:jc w:val="both"/>
      </w:pPr>
      <w:r>
        <w:rPr>
          <w:rFonts w:ascii="Times New Roman"/>
          <w:b w:val="false"/>
          <w:i w:val="false"/>
          <w:color w:val="000000"/>
          <w:sz w:val="28"/>
        </w:rPr>
        <w:t>
      1) субъекты (объекты) контроля - субъекты (объекты) осуществляющие деятельность по аккредитации, метрологическую аттестацию методик выполнения измерений, поверку средств измерений, испытания, работу по подтверждению соответствия продукции, процессов, услуг;</w:t>
      </w:r>
    </w:p>
    <w:bookmarkEnd w:id="264"/>
    <w:bookmarkStart w:name="z2705" w:id="265"/>
    <w:p>
      <w:pPr>
        <w:spacing w:after="0"/>
        <w:ind w:left="0"/>
        <w:jc w:val="both"/>
      </w:pPr>
      <w:r>
        <w:rPr>
          <w:rFonts w:ascii="Times New Roman"/>
          <w:b w:val="false"/>
          <w:i w:val="false"/>
          <w:color w:val="000000"/>
          <w:sz w:val="28"/>
        </w:rPr>
        <w:t>
      2) незначительные нарушения – нарушения требований законодательства Республики Казахстан об аккредитации в области оценки соответствия, не относящиеся к значительным и грубым нарушениям;</w:t>
      </w:r>
    </w:p>
    <w:bookmarkEnd w:id="265"/>
    <w:bookmarkStart w:name="z2706" w:id="266"/>
    <w:p>
      <w:pPr>
        <w:spacing w:after="0"/>
        <w:ind w:left="0"/>
        <w:jc w:val="both"/>
      </w:pPr>
      <w:r>
        <w:rPr>
          <w:rFonts w:ascii="Times New Roman"/>
          <w:b w:val="false"/>
          <w:i w:val="false"/>
          <w:color w:val="000000"/>
          <w:sz w:val="28"/>
        </w:rPr>
        <w:t>
      3) значительные нарушения – нарушения требований законодательства Республики Казахстан об аккредитации в области оценки соответствия, создающие предпосылки для возникновения угрозы вреда жизни, здоровью населения, затрагивающие законные интересы физических и юридических лиц, государства;</w:t>
      </w:r>
    </w:p>
    <w:bookmarkEnd w:id="266"/>
    <w:bookmarkStart w:name="z2707" w:id="267"/>
    <w:p>
      <w:pPr>
        <w:spacing w:after="0"/>
        <w:ind w:left="0"/>
        <w:jc w:val="both"/>
      </w:pPr>
      <w:r>
        <w:rPr>
          <w:rFonts w:ascii="Times New Roman"/>
          <w:b w:val="false"/>
          <w:i w:val="false"/>
          <w:color w:val="000000"/>
          <w:sz w:val="28"/>
        </w:rPr>
        <w:t>
      4) грубые нарушения – нарушения требований законодательства Республики Казахстан об аккредитации в области оценки соответствия, влекущие необоснованную выдачу и (или) не выдачу документов оценки соответствия и аттестатов аккредитации, создающие угрозы вреда жизни, здоровью населения, затрагивающие законные интересы физических и юридических лиц;</w:t>
      </w:r>
    </w:p>
    <w:bookmarkEnd w:id="267"/>
    <w:bookmarkStart w:name="z2708" w:id="268"/>
    <w:p>
      <w:pPr>
        <w:spacing w:after="0"/>
        <w:ind w:left="0"/>
        <w:jc w:val="both"/>
      </w:pPr>
      <w:r>
        <w:rPr>
          <w:rFonts w:ascii="Times New Roman"/>
          <w:b w:val="false"/>
          <w:i w:val="false"/>
          <w:color w:val="000000"/>
          <w:sz w:val="28"/>
        </w:rPr>
        <w:t>
      5) риск в области аккредитации и оценки соответствия – вероятность причинения вреда в результате деятельности субъекта контроля жизни или здоровью человека, законным интересам физических и юридических лиц, имущественным интересам государства с учетом степени тяжести его последствий;</w:t>
      </w:r>
    </w:p>
    <w:bookmarkEnd w:id="268"/>
    <w:bookmarkStart w:name="z2709" w:id="269"/>
    <w:p>
      <w:pPr>
        <w:spacing w:after="0"/>
        <w:ind w:left="0"/>
        <w:jc w:val="both"/>
      </w:pPr>
      <w:r>
        <w:rPr>
          <w:rFonts w:ascii="Times New Roman"/>
          <w:b w:val="false"/>
          <w:i w:val="false"/>
          <w:color w:val="000000"/>
          <w:sz w:val="28"/>
        </w:rPr>
        <w:t>
      6) критерии оценки степени риска – совокупность количественных и качественных показателей, связанных с непосредственной деятельностью субъекта контроля, особенностями отраслевого развития и факторами, влияющими на это развитие, позволяющих отнести субъекты (объекты) контроля к различным степеням риска;</w:t>
      </w:r>
    </w:p>
    <w:bookmarkEnd w:id="269"/>
    <w:bookmarkStart w:name="z2710" w:id="270"/>
    <w:p>
      <w:pPr>
        <w:spacing w:after="0"/>
        <w:ind w:left="0"/>
        <w:jc w:val="both"/>
      </w:pPr>
      <w:r>
        <w:rPr>
          <w:rFonts w:ascii="Times New Roman"/>
          <w:b w:val="false"/>
          <w:i w:val="false"/>
          <w:color w:val="000000"/>
          <w:sz w:val="28"/>
        </w:rPr>
        <w:t>
      7) объективные критерии оценки степени риска (далее – объективные критерии) – критерии оценки степени риска, используемые для отбора субъектов (объектов) контроля в зависимости от степени риска в определенной сфере деятельности и не зависящие непосредственно от отдельного субъекта (объекта) контроля;</w:t>
      </w:r>
    </w:p>
    <w:bookmarkEnd w:id="270"/>
    <w:bookmarkStart w:name="z2711" w:id="271"/>
    <w:p>
      <w:pPr>
        <w:spacing w:after="0"/>
        <w:ind w:left="0"/>
        <w:jc w:val="both"/>
      </w:pPr>
      <w:r>
        <w:rPr>
          <w:rFonts w:ascii="Times New Roman"/>
          <w:b w:val="false"/>
          <w:i w:val="false"/>
          <w:color w:val="000000"/>
          <w:sz w:val="28"/>
        </w:rPr>
        <w:t>
      8) субъективные критерии оценки степени риска (далее – субъективные критерии) – критерии оценки степени риска, используемые для отбора субъектов (объектов) контроля в зависимости от результатов деятельности конкретного субъекта (объекта) контроля.</w:t>
      </w:r>
    </w:p>
    <w:bookmarkEnd w:id="271"/>
    <w:bookmarkStart w:name="z2712" w:id="272"/>
    <w:p>
      <w:pPr>
        <w:spacing w:after="0"/>
        <w:ind w:left="0"/>
        <w:jc w:val="both"/>
      </w:pPr>
      <w:r>
        <w:rPr>
          <w:rFonts w:ascii="Times New Roman"/>
          <w:b w:val="false"/>
          <w:i w:val="false"/>
          <w:color w:val="000000"/>
          <w:sz w:val="28"/>
        </w:rPr>
        <w:t>
      9) система оценки и управления рисками – процесс принятия управленческих решений, направленных на снижение вероятности наступления неблагоприятных факторов путем распределения субъектов (объектов) контроля по степеням риска для последующего осуществления профилактического контроля с посещением субъекта (объекта) контроля с целью минимально возможной степени ограничения свободы предпринимательства, обеспечивая при этом допустимый уровень риска в сфере аккредитации и оценки соответствия, а также направленных на изменение уровня риска для конкретного субъекта (объекта) контроля и (или) освобождения такого субъекта (объекта) контроля от профилактического контроля с посещением субъекта (объекта) контроля;</w:t>
      </w:r>
    </w:p>
    <w:bookmarkEnd w:id="272"/>
    <w:bookmarkStart w:name="z2713" w:id="273"/>
    <w:p>
      <w:pPr>
        <w:spacing w:after="0"/>
        <w:ind w:left="0"/>
        <w:jc w:val="both"/>
      </w:pPr>
      <w:r>
        <w:rPr>
          <w:rFonts w:ascii="Times New Roman"/>
          <w:b w:val="false"/>
          <w:i w:val="false"/>
          <w:color w:val="000000"/>
          <w:sz w:val="28"/>
        </w:rPr>
        <w:t>
      10) проверочный лист - перечень требований, предъявляемых к деятельности субъектов (объектов) контроля, несоблюдение которых влечет за собой угрозу жизни и здоровью человека, законным интересам физических и юридических лиц, государства.</w:t>
      </w:r>
    </w:p>
    <w:bookmarkEnd w:id="273"/>
    <w:bookmarkStart w:name="z2714" w:id="274"/>
    <w:p>
      <w:pPr>
        <w:spacing w:after="0"/>
        <w:ind w:left="0"/>
        <w:jc w:val="both"/>
      </w:pPr>
      <w:r>
        <w:rPr>
          <w:rFonts w:ascii="Times New Roman"/>
          <w:b w:val="false"/>
          <w:i w:val="false"/>
          <w:color w:val="000000"/>
          <w:sz w:val="28"/>
        </w:rPr>
        <w:t>
      3. Критерии оценки степени риска в области аккредитации и оценки соответствия для профилактического контроля с посещением субъекта (объекта) контроля формируются посредством объективных и субъективных критериев.</w:t>
      </w:r>
    </w:p>
    <w:bookmarkEnd w:id="274"/>
    <w:bookmarkStart w:name="z2715" w:id="275"/>
    <w:p>
      <w:pPr>
        <w:spacing w:after="0"/>
        <w:ind w:left="0"/>
        <w:jc w:val="left"/>
      </w:pPr>
      <w:r>
        <w:rPr>
          <w:rFonts w:ascii="Times New Roman"/>
          <w:b/>
          <w:i w:val="false"/>
          <w:color w:val="000000"/>
        </w:rPr>
        <w:t xml:space="preserve"> Глава 2. Объективные критерии</w:t>
      </w:r>
    </w:p>
    <w:bookmarkEnd w:id="275"/>
    <w:bookmarkStart w:name="z2716" w:id="276"/>
    <w:p>
      <w:pPr>
        <w:spacing w:after="0"/>
        <w:ind w:left="0"/>
        <w:jc w:val="both"/>
      </w:pPr>
      <w:r>
        <w:rPr>
          <w:rFonts w:ascii="Times New Roman"/>
          <w:b w:val="false"/>
          <w:i w:val="false"/>
          <w:color w:val="000000"/>
          <w:sz w:val="28"/>
        </w:rPr>
        <w:t>
      4. Определение объективных критериев осуществляется посредством определения риска.</w:t>
      </w:r>
    </w:p>
    <w:bookmarkEnd w:id="276"/>
    <w:bookmarkStart w:name="z2717" w:id="277"/>
    <w:p>
      <w:pPr>
        <w:spacing w:after="0"/>
        <w:ind w:left="0"/>
        <w:jc w:val="both"/>
      </w:pPr>
      <w:r>
        <w:rPr>
          <w:rFonts w:ascii="Times New Roman"/>
          <w:b w:val="false"/>
          <w:i w:val="false"/>
          <w:color w:val="000000"/>
          <w:sz w:val="28"/>
        </w:rPr>
        <w:t>
      5. Определение риска осуществляется в зависимости от специфики сферы, в которой осуществляется государственный контроль с учетом одного из следующих критериев:</w:t>
      </w:r>
    </w:p>
    <w:bookmarkEnd w:id="277"/>
    <w:bookmarkStart w:name="z2718" w:id="278"/>
    <w:p>
      <w:pPr>
        <w:spacing w:after="0"/>
        <w:ind w:left="0"/>
        <w:jc w:val="both"/>
      </w:pPr>
      <w:r>
        <w:rPr>
          <w:rFonts w:ascii="Times New Roman"/>
          <w:b w:val="false"/>
          <w:i w:val="false"/>
          <w:color w:val="000000"/>
          <w:sz w:val="28"/>
        </w:rPr>
        <w:t>
      1) уровня опасности (сложности) объекта;</w:t>
      </w:r>
    </w:p>
    <w:bookmarkEnd w:id="278"/>
    <w:bookmarkStart w:name="z2719" w:id="279"/>
    <w:p>
      <w:pPr>
        <w:spacing w:after="0"/>
        <w:ind w:left="0"/>
        <w:jc w:val="both"/>
      </w:pPr>
      <w:r>
        <w:rPr>
          <w:rFonts w:ascii="Times New Roman"/>
          <w:b w:val="false"/>
          <w:i w:val="false"/>
          <w:color w:val="000000"/>
          <w:sz w:val="28"/>
        </w:rPr>
        <w:t>
      2) масштабов тяжести возможных негативных последствий, вреда на регулируемую сферу (область);</w:t>
      </w:r>
    </w:p>
    <w:bookmarkEnd w:id="279"/>
    <w:bookmarkStart w:name="z2720" w:id="280"/>
    <w:p>
      <w:pPr>
        <w:spacing w:after="0"/>
        <w:ind w:left="0"/>
        <w:jc w:val="both"/>
      </w:pPr>
      <w:r>
        <w:rPr>
          <w:rFonts w:ascii="Times New Roman"/>
          <w:b w:val="false"/>
          <w:i w:val="false"/>
          <w:color w:val="000000"/>
          <w:sz w:val="28"/>
        </w:rPr>
        <w:t>
      3) возможности наступления неблагоприятного происшествия для законных интересов физических и юридических лиц, государства.</w:t>
      </w:r>
    </w:p>
    <w:bookmarkEnd w:id="280"/>
    <w:bookmarkStart w:name="z2721" w:id="281"/>
    <w:p>
      <w:pPr>
        <w:spacing w:after="0"/>
        <w:ind w:left="0"/>
        <w:jc w:val="both"/>
      </w:pPr>
      <w:r>
        <w:rPr>
          <w:rFonts w:ascii="Times New Roman"/>
          <w:b w:val="false"/>
          <w:i w:val="false"/>
          <w:color w:val="000000"/>
          <w:sz w:val="28"/>
        </w:rPr>
        <w:t>
      6. После проведения анализа всех возможных рисков субъекты (объекты) контроля распределяются по трем степеням риска (высокая, средняя и низкая).</w:t>
      </w:r>
    </w:p>
    <w:bookmarkEnd w:id="281"/>
    <w:bookmarkStart w:name="z2722" w:id="282"/>
    <w:p>
      <w:pPr>
        <w:spacing w:after="0"/>
        <w:ind w:left="0"/>
        <w:jc w:val="both"/>
      </w:pPr>
      <w:r>
        <w:rPr>
          <w:rFonts w:ascii="Times New Roman"/>
          <w:b w:val="false"/>
          <w:i w:val="false"/>
          <w:color w:val="000000"/>
          <w:sz w:val="28"/>
        </w:rPr>
        <w:t>
      В области законодательства об аккредитации и оценки соответствия к высокой степени риска по объективным критериям относятся следующие субъекты (объекты) контроля:</w:t>
      </w:r>
    </w:p>
    <w:bookmarkEnd w:id="282"/>
    <w:bookmarkStart w:name="z2723" w:id="283"/>
    <w:p>
      <w:pPr>
        <w:spacing w:after="0"/>
        <w:ind w:left="0"/>
        <w:jc w:val="both"/>
      </w:pPr>
      <w:r>
        <w:rPr>
          <w:rFonts w:ascii="Times New Roman"/>
          <w:b w:val="false"/>
          <w:i w:val="false"/>
          <w:color w:val="000000"/>
          <w:sz w:val="28"/>
        </w:rPr>
        <w:t>
      1) орган по подтверждению соответствия;</w:t>
      </w:r>
    </w:p>
    <w:bookmarkEnd w:id="283"/>
    <w:bookmarkStart w:name="z2724" w:id="284"/>
    <w:p>
      <w:pPr>
        <w:spacing w:after="0"/>
        <w:ind w:left="0"/>
        <w:jc w:val="both"/>
      </w:pPr>
      <w:r>
        <w:rPr>
          <w:rFonts w:ascii="Times New Roman"/>
          <w:b w:val="false"/>
          <w:i w:val="false"/>
          <w:color w:val="000000"/>
          <w:sz w:val="28"/>
        </w:rPr>
        <w:t>
      2) испытательная лаборатория (центр);</w:t>
      </w:r>
    </w:p>
    <w:bookmarkEnd w:id="284"/>
    <w:bookmarkStart w:name="z2725" w:id="285"/>
    <w:p>
      <w:pPr>
        <w:spacing w:after="0"/>
        <w:ind w:left="0"/>
        <w:jc w:val="both"/>
      </w:pPr>
      <w:r>
        <w:rPr>
          <w:rFonts w:ascii="Times New Roman"/>
          <w:b w:val="false"/>
          <w:i w:val="false"/>
          <w:color w:val="000000"/>
          <w:sz w:val="28"/>
        </w:rPr>
        <w:t>
      3) поверочная лаборатория;</w:t>
      </w:r>
    </w:p>
    <w:bookmarkEnd w:id="285"/>
    <w:bookmarkStart w:name="z2726" w:id="286"/>
    <w:p>
      <w:pPr>
        <w:spacing w:after="0"/>
        <w:ind w:left="0"/>
        <w:jc w:val="both"/>
      </w:pPr>
      <w:r>
        <w:rPr>
          <w:rFonts w:ascii="Times New Roman"/>
          <w:b w:val="false"/>
          <w:i w:val="false"/>
          <w:color w:val="000000"/>
          <w:sz w:val="28"/>
        </w:rPr>
        <w:t>
      4) орган по аккредитации.</w:t>
      </w:r>
    </w:p>
    <w:bookmarkEnd w:id="286"/>
    <w:bookmarkStart w:name="z2727" w:id="287"/>
    <w:p>
      <w:pPr>
        <w:spacing w:after="0"/>
        <w:ind w:left="0"/>
        <w:jc w:val="both"/>
      </w:pPr>
      <w:r>
        <w:rPr>
          <w:rFonts w:ascii="Times New Roman"/>
          <w:b w:val="false"/>
          <w:i w:val="false"/>
          <w:color w:val="000000"/>
          <w:sz w:val="28"/>
        </w:rPr>
        <w:t>
      К средней степени риска – эксперты-аудиторы по аккредитации, подтверждению соответствия.</w:t>
      </w:r>
    </w:p>
    <w:bookmarkEnd w:id="287"/>
    <w:bookmarkStart w:name="z2728" w:id="288"/>
    <w:p>
      <w:pPr>
        <w:spacing w:after="0"/>
        <w:ind w:left="0"/>
        <w:jc w:val="both"/>
      </w:pPr>
      <w:r>
        <w:rPr>
          <w:rFonts w:ascii="Times New Roman"/>
          <w:b w:val="false"/>
          <w:i w:val="false"/>
          <w:color w:val="000000"/>
          <w:sz w:val="28"/>
        </w:rPr>
        <w:t>
      К низкой степени риска – технические эксперты.</w:t>
      </w:r>
    </w:p>
    <w:bookmarkEnd w:id="288"/>
    <w:bookmarkStart w:name="z2729" w:id="289"/>
    <w:p>
      <w:pPr>
        <w:spacing w:after="0"/>
        <w:ind w:left="0"/>
        <w:jc w:val="both"/>
      </w:pPr>
      <w:r>
        <w:rPr>
          <w:rFonts w:ascii="Times New Roman"/>
          <w:b w:val="false"/>
          <w:i w:val="false"/>
          <w:color w:val="000000"/>
          <w:sz w:val="28"/>
        </w:rPr>
        <w:t>
      7. В отношении субъектов (объектов) контроля, отнесенных к высокой или средней степени риска, проводятся профилактический контроль с посещением субъекта (объекта) контроля, профилактический контроль без посещения субъекта (объекта) контроля и внеплановая проверка.</w:t>
      </w:r>
    </w:p>
    <w:bookmarkEnd w:id="289"/>
    <w:bookmarkStart w:name="z2730" w:id="290"/>
    <w:p>
      <w:pPr>
        <w:spacing w:after="0"/>
        <w:ind w:left="0"/>
        <w:jc w:val="both"/>
      </w:pPr>
      <w:r>
        <w:rPr>
          <w:rFonts w:ascii="Times New Roman"/>
          <w:b w:val="false"/>
          <w:i w:val="false"/>
          <w:color w:val="000000"/>
          <w:sz w:val="28"/>
        </w:rPr>
        <w:t>
      В отношении субъектов (объектов) контроля, отнесенных к низкой степени риска, проводятся профилактический контроль без посещения субъекта (объекта) контроля и внеплановая проверка.</w:t>
      </w:r>
    </w:p>
    <w:bookmarkEnd w:id="290"/>
    <w:bookmarkStart w:name="z2731" w:id="291"/>
    <w:p>
      <w:pPr>
        <w:spacing w:after="0"/>
        <w:ind w:left="0"/>
        <w:jc w:val="left"/>
      </w:pPr>
      <w:r>
        <w:rPr>
          <w:rFonts w:ascii="Times New Roman"/>
          <w:b/>
          <w:i w:val="false"/>
          <w:color w:val="000000"/>
        </w:rPr>
        <w:t xml:space="preserve"> Глава 3. Субъективные критерии</w:t>
      </w:r>
    </w:p>
    <w:bookmarkEnd w:id="291"/>
    <w:bookmarkStart w:name="z2732" w:id="292"/>
    <w:p>
      <w:pPr>
        <w:spacing w:after="0"/>
        <w:ind w:left="0"/>
        <w:jc w:val="both"/>
      </w:pPr>
      <w:r>
        <w:rPr>
          <w:rFonts w:ascii="Times New Roman"/>
          <w:b w:val="false"/>
          <w:i w:val="false"/>
          <w:color w:val="000000"/>
          <w:sz w:val="28"/>
        </w:rPr>
        <w:t>
      8. Определение субъективных критериев осуществляется с применением следующих этапов:</w:t>
      </w:r>
    </w:p>
    <w:bookmarkEnd w:id="292"/>
    <w:bookmarkStart w:name="z2733" w:id="293"/>
    <w:p>
      <w:pPr>
        <w:spacing w:after="0"/>
        <w:ind w:left="0"/>
        <w:jc w:val="both"/>
      </w:pPr>
      <w:r>
        <w:rPr>
          <w:rFonts w:ascii="Times New Roman"/>
          <w:b w:val="false"/>
          <w:i w:val="false"/>
          <w:color w:val="000000"/>
          <w:sz w:val="28"/>
        </w:rPr>
        <w:t>
      1) формирование базы данных и сбор информации;</w:t>
      </w:r>
    </w:p>
    <w:bookmarkEnd w:id="293"/>
    <w:bookmarkStart w:name="z2734" w:id="294"/>
    <w:p>
      <w:pPr>
        <w:spacing w:after="0"/>
        <w:ind w:left="0"/>
        <w:jc w:val="both"/>
      </w:pPr>
      <w:r>
        <w:rPr>
          <w:rFonts w:ascii="Times New Roman"/>
          <w:b w:val="false"/>
          <w:i w:val="false"/>
          <w:color w:val="000000"/>
          <w:sz w:val="28"/>
        </w:rPr>
        <w:t>
      2) анализ информации и оценка рисков.</w:t>
      </w:r>
    </w:p>
    <w:bookmarkEnd w:id="294"/>
    <w:bookmarkStart w:name="z2735" w:id="295"/>
    <w:p>
      <w:pPr>
        <w:spacing w:after="0"/>
        <w:ind w:left="0"/>
        <w:jc w:val="both"/>
      </w:pPr>
      <w:r>
        <w:rPr>
          <w:rFonts w:ascii="Times New Roman"/>
          <w:b w:val="false"/>
          <w:i w:val="false"/>
          <w:color w:val="000000"/>
          <w:sz w:val="28"/>
        </w:rPr>
        <w:t>
      9. Для оценки степени риска используются следующие источники информации:</w:t>
      </w:r>
    </w:p>
    <w:bookmarkEnd w:id="295"/>
    <w:bookmarkStart w:name="z2736" w:id="296"/>
    <w:p>
      <w:pPr>
        <w:spacing w:after="0"/>
        <w:ind w:left="0"/>
        <w:jc w:val="both"/>
      </w:pPr>
      <w:r>
        <w:rPr>
          <w:rFonts w:ascii="Times New Roman"/>
          <w:b w:val="false"/>
          <w:i w:val="false"/>
          <w:color w:val="000000"/>
          <w:sz w:val="28"/>
        </w:rPr>
        <w:t>
      1) результаты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296"/>
    <w:bookmarkStart w:name="z2737" w:id="297"/>
    <w:p>
      <w:pPr>
        <w:spacing w:after="0"/>
        <w:ind w:left="0"/>
        <w:jc w:val="both"/>
      </w:pPr>
      <w:r>
        <w:rPr>
          <w:rFonts w:ascii="Times New Roman"/>
          <w:b w:val="false"/>
          <w:i w:val="false"/>
          <w:color w:val="000000"/>
          <w:sz w:val="28"/>
        </w:rPr>
        <w:t>
      2) результаты предыдущих проверок и профилактического контроля с посещением субъектов (объектов) контроля;</w:t>
      </w:r>
    </w:p>
    <w:bookmarkEnd w:id="297"/>
    <w:bookmarkStart w:name="z2738" w:id="298"/>
    <w:p>
      <w:pPr>
        <w:spacing w:after="0"/>
        <w:ind w:left="0"/>
        <w:jc w:val="both"/>
      </w:pPr>
      <w:r>
        <w:rPr>
          <w:rFonts w:ascii="Times New Roman"/>
          <w:b w:val="false"/>
          <w:i w:val="false"/>
          <w:color w:val="000000"/>
          <w:sz w:val="28"/>
        </w:rPr>
        <w:t>
      3) анализ официальных интернет-ресурсов государственных органов, средств массовой информации;</w:t>
      </w:r>
    </w:p>
    <w:bookmarkEnd w:id="298"/>
    <w:bookmarkStart w:name="z2739" w:id="299"/>
    <w:p>
      <w:pPr>
        <w:spacing w:after="0"/>
        <w:ind w:left="0"/>
        <w:jc w:val="both"/>
      </w:pPr>
      <w:r>
        <w:rPr>
          <w:rFonts w:ascii="Times New Roman"/>
          <w:b w:val="false"/>
          <w:i w:val="false"/>
          <w:color w:val="000000"/>
          <w:sz w:val="28"/>
        </w:rPr>
        <w:t>
      4) результаты анализа сведений, представляемых государственными органами и организациями;</w:t>
      </w:r>
    </w:p>
    <w:bookmarkEnd w:id="299"/>
    <w:bookmarkStart w:name="z2740" w:id="300"/>
    <w:p>
      <w:pPr>
        <w:spacing w:after="0"/>
        <w:ind w:left="0"/>
        <w:jc w:val="both"/>
      </w:pPr>
      <w:r>
        <w:rPr>
          <w:rFonts w:ascii="Times New Roman"/>
          <w:b w:val="false"/>
          <w:i w:val="false"/>
          <w:color w:val="000000"/>
          <w:sz w:val="28"/>
        </w:rPr>
        <w:t>
      5) результаты мониторинга отчетности и сведений, представляемых субъектом контроля;</w:t>
      </w:r>
    </w:p>
    <w:bookmarkEnd w:id="300"/>
    <w:bookmarkStart w:name="z2741" w:id="301"/>
    <w:p>
      <w:pPr>
        <w:spacing w:after="0"/>
        <w:ind w:left="0"/>
        <w:jc w:val="both"/>
      </w:pPr>
      <w:r>
        <w:rPr>
          <w:rFonts w:ascii="Times New Roman"/>
          <w:b w:val="false"/>
          <w:i w:val="false"/>
          <w:color w:val="000000"/>
          <w:sz w:val="28"/>
        </w:rPr>
        <w:t>
      6) наличие и количество подтвержденных жалоб и обращений.</w:t>
      </w:r>
    </w:p>
    <w:bookmarkEnd w:id="301"/>
    <w:bookmarkStart w:name="z2742" w:id="302"/>
    <w:p>
      <w:pPr>
        <w:spacing w:after="0"/>
        <w:ind w:left="0"/>
        <w:jc w:val="both"/>
      </w:pPr>
      <w:r>
        <w:rPr>
          <w:rFonts w:ascii="Times New Roman"/>
          <w:b w:val="false"/>
          <w:i w:val="false"/>
          <w:color w:val="000000"/>
          <w:sz w:val="28"/>
        </w:rPr>
        <w:t>
      На основании имеющихся источников информации, орган государственного контроля в области аккредитации и оценки соответствия формирует субъективные критерии, подлежащие оценке.</w:t>
      </w:r>
    </w:p>
    <w:bookmarkEnd w:id="302"/>
    <w:bookmarkStart w:name="z2743" w:id="303"/>
    <w:p>
      <w:pPr>
        <w:spacing w:after="0"/>
        <w:ind w:left="0"/>
        <w:jc w:val="both"/>
      </w:pPr>
      <w:r>
        <w:rPr>
          <w:rFonts w:ascii="Times New Roman"/>
          <w:b w:val="false"/>
          <w:i w:val="false"/>
          <w:color w:val="000000"/>
          <w:sz w:val="28"/>
        </w:rPr>
        <w:t>
      Анализ и оценка субъективных критериев позволяет сконцентрировать проведение профилактического контроля субъекта (объекта) контроля в отношении субъекта (объекта) контроля с наибольшим потенциальным риском.</w:t>
      </w:r>
    </w:p>
    <w:bookmarkEnd w:id="303"/>
    <w:bookmarkStart w:name="z2744" w:id="304"/>
    <w:p>
      <w:pPr>
        <w:spacing w:after="0"/>
        <w:ind w:left="0"/>
        <w:jc w:val="both"/>
      </w:pPr>
      <w:r>
        <w:rPr>
          <w:rFonts w:ascii="Times New Roman"/>
          <w:b w:val="false"/>
          <w:i w:val="false"/>
          <w:color w:val="000000"/>
          <w:sz w:val="28"/>
        </w:rPr>
        <w:t>
      При этом при анализе и оценке не применяются данные субъективных критериев, ранее учтенные и использованные в отношении конкретного субъекта (объекта) контроля либо данные, по которым истек срок исковой давности в соответствии с законодательством Республики Казахстан.</w:t>
      </w:r>
    </w:p>
    <w:bookmarkEnd w:id="304"/>
    <w:bookmarkStart w:name="z2745" w:id="305"/>
    <w:p>
      <w:pPr>
        <w:spacing w:after="0"/>
        <w:ind w:left="0"/>
        <w:jc w:val="both"/>
      </w:pPr>
      <w:r>
        <w:rPr>
          <w:rFonts w:ascii="Times New Roman"/>
          <w:b w:val="false"/>
          <w:i w:val="false"/>
          <w:color w:val="000000"/>
          <w:sz w:val="28"/>
        </w:rPr>
        <w:t>
      В отношении субъектов контроля, устранивших в полном объеме выданные нарушения по итогам проведенного предыдущего профилактического контроля с посещением, не допускается включение их при формировании списков на очередной период государственного контроля.</w:t>
      </w:r>
    </w:p>
    <w:bookmarkEnd w:id="305"/>
    <w:bookmarkStart w:name="z2746" w:id="306"/>
    <w:p>
      <w:pPr>
        <w:spacing w:after="0"/>
        <w:ind w:left="0"/>
        <w:jc w:val="both"/>
      </w:pPr>
      <w:r>
        <w:rPr>
          <w:rFonts w:ascii="Times New Roman"/>
          <w:b w:val="false"/>
          <w:i w:val="false"/>
          <w:color w:val="000000"/>
          <w:sz w:val="28"/>
        </w:rPr>
        <w:t>
      10. Субъективные критерии разработаны на основании требований проверочных листов, несоблюдение которых в соответствии с субъективными критериями оценки степени рисков субъектов в области аккредитации и оценки соответствия соответствуют определенной степени нарушения. В отношении каждого требования из проверочных листов определяется степень нарушения – грубое, значительное и незначительное.</w:t>
      </w:r>
    </w:p>
    <w:bookmarkEnd w:id="306"/>
    <w:bookmarkStart w:name="z2747" w:id="307"/>
    <w:p>
      <w:pPr>
        <w:spacing w:after="0"/>
        <w:ind w:left="0"/>
        <w:jc w:val="both"/>
      </w:pPr>
      <w:r>
        <w:rPr>
          <w:rFonts w:ascii="Times New Roman"/>
          <w:b w:val="false"/>
          <w:i w:val="false"/>
          <w:color w:val="000000"/>
          <w:sz w:val="28"/>
        </w:rPr>
        <w:t>
      Субъективные критерии определены для субъектов в области аккредитации и оценки соответствия согласно приложению к настоящим Критериям.</w:t>
      </w:r>
    </w:p>
    <w:bookmarkEnd w:id="307"/>
    <w:bookmarkStart w:name="z2748" w:id="308"/>
    <w:p>
      <w:pPr>
        <w:spacing w:after="0"/>
        <w:ind w:left="0"/>
        <w:jc w:val="both"/>
      </w:pPr>
      <w:r>
        <w:rPr>
          <w:rFonts w:ascii="Times New Roman"/>
          <w:b w:val="false"/>
          <w:i w:val="false"/>
          <w:color w:val="000000"/>
          <w:sz w:val="28"/>
        </w:rPr>
        <w:t>
      11. Исходя из приоритетности применяемых источников информации в соответствии с порядком расчета общего показателя степени риска по субъективным критериям рассчитывается общий показатель степени риска по субъективным критериям по шкале от 0 до 100.</w:t>
      </w:r>
    </w:p>
    <w:bookmarkEnd w:id="308"/>
    <w:bookmarkStart w:name="z2749" w:id="309"/>
    <w:p>
      <w:pPr>
        <w:spacing w:after="0"/>
        <w:ind w:left="0"/>
        <w:jc w:val="both"/>
      </w:pPr>
      <w:r>
        <w:rPr>
          <w:rFonts w:ascii="Times New Roman"/>
          <w:b w:val="false"/>
          <w:i w:val="false"/>
          <w:color w:val="000000"/>
          <w:sz w:val="28"/>
        </w:rPr>
        <w:t>
      По показателям степени риска субъект (объект) контроля относится:</w:t>
      </w:r>
    </w:p>
    <w:bookmarkEnd w:id="309"/>
    <w:bookmarkStart w:name="z2750" w:id="310"/>
    <w:p>
      <w:pPr>
        <w:spacing w:after="0"/>
        <w:ind w:left="0"/>
        <w:jc w:val="both"/>
      </w:pPr>
      <w:r>
        <w:rPr>
          <w:rFonts w:ascii="Times New Roman"/>
          <w:b w:val="false"/>
          <w:i w:val="false"/>
          <w:color w:val="000000"/>
          <w:sz w:val="28"/>
        </w:rPr>
        <w:t>
      1) к высокой степени риска – при показателе степени риска от 71 до 100 включительно;</w:t>
      </w:r>
    </w:p>
    <w:bookmarkEnd w:id="310"/>
    <w:bookmarkStart w:name="z2751" w:id="311"/>
    <w:p>
      <w:pPr>
        <w:spacing w:after="0"/>
        <w:ind w:left="0"/>
        <w:jc w:val="both"/>
      </w:pPr>
      <w:r>
        <w:rPr>
          <w:rFonts w:ascii="Times New Roman"/>
          <w:b w:val="false"/>
          <w:i w:val="false"/>
          <w:color w:val="000000"/>
          <w:sz w:val="28"/>
        </w:rPr>
        <w:t>
      2) к средней степени риска – при показателе степени риска от 31 до 70 включительно;</w:t>
      </w:r>
    </w:p>
    <w:bookmarkEnd w:id="311"/>
    <w:bookmarkStart w:name="z2752" w:id="312"/>
    <w:p>
      <w:pPr>
        <w:spacing w:after="0"/>
        <w:ind w:left="0"/>
        <w:jc w:val="both"/>
      </w:pPr>
      <w:r>
        <w:rPr>
          <w:rFonts w:ascii="Times New Roman"/>
          <w:b w:val="false"/>
          <w:i w:val="false"/>
          <w:color w:val="000000"/>
          <w:sz w:val="28"/>
        </w:rPr>
        <w:t>
      3) к низкой степени риска – при показателе степени риска от 0 до 30 включительно.</w:t>
      </w:r>
    </w:p>
    <w:bookmarkEnd w:id="312"/>
    <w:bookmarkStart w:name="z2753" w:id="313"/>
    <w:p>
      <w:pPr>
        <w:spacing w:after="0"/>
        <w:ind w:left="0"/>
        <w:jc w:val="both"/>
      </w:pPr>
      <w:r>
        <w:rPr>
          <w:rFonts w:ascii="Times New Roman"/>
          <w:b w:val="false"/>
          <w:i w:val="false"/>
          <w:color w:val="000000"/>
          <w:sz w:val="28"/>
        </w:rPr>
        <w:t>
      12. При выявлении одного грубого нарушения субъекту контроля приравнивается показатель степени риска 100 и в отношении него проводится профилактический контроль с посещением субъекта (объекта) контроля.</w:t>
      </w:r>
    </w:p>
    <w:bookmarkEnd w:id="313"/>
    <w:bookmarkStart w:name="z2754" w:id="314"/>
    <w:p>
      <w:pPr>
        <w:spacing w:after="0"/>
        <w:ind w:left="0"/>
        <w:jc w:val="both"/>
      </w:pPr>
      <w:r>
        <w:rPr>
          <w:rFonts w:ascii="Times New Roman"/>
          <w:b w:val="false"/>
          <w:i w:val="false"/>
          <w:color w:val="000000"/>
          <w:sz w:val="28"/>
        </w:rPr>
        <w:t>
      При не выявлении грубых нарушений определения показателя степени риска рассчитывается суммарным показателем по нарушениям значительной и незначительной степени.</w:t>
      </w:r>
    </w:p>
    <w:bookmarkEnd w:id="314"/>
    <w:bookmarkStart w:name="z2755" w:id="315"/>
    <w:p>
      <w:pPr>
        <w:spacing w:after="0"/>
        <w:ind w:left="0"/>
        <w:jc w:val="both"/>
      </w:pPr>
      <w:r>
        <w:rPr>
          <w:rFonts w:ascii="Times New Roman"/>
          <w:b w:val="false"/>
          <w:i w:val="false"/>
          <w:color w:val="000000"/>
          <w:sz w:val="28"/>
        </w:rPr>
        <w:t>
      При определении показателя значительных нарушений применяется коэффициент 0,7 и данный показатель рассчитывается по следующей формуле:</w:t>
      </w:r>
    </w:p>
    <w:bookmarkEnd w:id="315"/>
    <w:bookmarkStart w:name="z2756" w:id="316"/>
    <w:p>
      <w:pPr>
        <w:spacing w:after="0"/>
        <w:ind w:left="0"/>
        <w:jc w:val="both"/>
      </w:pPr>
      <w:r>
        <w:rPr>
          <w:rFonts w:ascii="Times New Roman"/>
          <w:b w:val="false"/>
          <w:i w:val="false"/>
          <w:color w:val="000000"/>
          <w:sz w:val="28"/>
        </w:rPr>
        <w:t>
      SРз = (SР2 х 100/SР1) х 0,7,</w:t>
      </w:r>
    </w:p>
    <w:bookmarkEnd w:id="316"/>
    <w:bookmarkStart w:name="z2757" w:id="317"/>
    <w:p>
      <w:pPr>
        <w:spacing w:after="0"/>
        <w:ind w:left="0"/>
        <w:jc w:val="both"/>
      </w:pPr>
      <w:r>
        <w:rPr>
          <w:rFonts w:ascii="Times New Roman"/>
          <w:b w:val="false"/>
          <w:i w:val="false"/>
          <w:color w:val="000000"/>
          <w:sz w:val="28"/>
        </w:rPr>
        <w:t>
      где:</w:t>
      </w:r>
    </w:p>
    <w:bookmarkEnd w:id="317"/>
    <w:bookmarkStart w:name="z2758" w:id="318"/>
    <w:p>
      <w:pPr>
        <w:spacing w:after="0"/>
        <w:ind w:left="0"/>
        <w:jc w:val="both"/>
      </w:pPr>
      <w:r>
        <w:rPr>
          <w:rFonts w:ascii="Times New Roman"/>
          <w:b w:val="false"/>
          <w:i w:val="false"/>
          <w:color w:val="000000"/>
          <w:sz w:val="28"/>
        </w:rPr>
        <w:t>
      SРз – показатель значительных нарушений;</w:t>
      </w:r>
    </w:p>
    <w:bookmarkEnd w:id="318"/>
    <w:bookmarkStart w:name="z2759" w:id="319"/>
    <w:p>
      <w:pPr>
        <w:spacing w:after="0"/>
        <w:ind w:left="0"/>
        <w:jc w:val="both"/>
      </w:pPr>
      <w:r>
        <w:rPr>
          <w:rFonts w:ascii="Times New Roman"/>
          <w:b w:val="false"/>
          <w:i w:val="false"/>
          <w:color w:val="000000"/>
          <w:sz w:val="28"/>
        </w:rPr>
        <w:t>
      SР1 – требуемое количество значительных нарушений;</w:t>
      </w:r>
    </w:p>
    <w:bookmarkEnd w:id="319"/>
    <w:bookmarkStart w:name="z2760" w:id="320"/>
    <w:p>
      <w:pPr>
        <w:spacing w:after="0"/>
        <w:ind w:left="0"/>
        <w:jc w:val="both"/>
      </w:pPr>
      <w:r>
        <w:rPr>
          <w:rFonts w:ascii="Times New Roman"/>
          <w:b w:val="false"/>
          <w:i w:val="false"/>
          <w:color w:val="000000"/>
          <w:sz w:val="28"/>
        </w:rPr>
        <w:t>
      SР2 – количество выявленных значительных нарушений;</w:t>
      </w:r>
    </w:p>
    <w:bookmarkEnd w:id="320"/>
    <w:bookmarkStart w:name="z2761" w:id="321"/>
    <w:p>
      <w:pPr>
        <w:spacing w:after="0"/>
        <w:ind w:left="0"/>
        <w:jc w:val="both"/>
      </w:pPr>
      <w:r>
        <w:rPr>
          <w:rFonts w:ascii="Times New Roman"/>
          <w:b w:val="false"/>
          <w:i w:val="false"/>
          <w:color w:val="000000"/>
          <w:sz w:val="28"/>
        </w:rPr>
        <w:t>
      При определении показателя незначительных нарушений применяется коэффициент 0,3 и данный показатель рассчитывается по следующей формуле:</w:t>
      </w:r>
    </w:p>
    <w:bookmarkEnd w:id="321"/>
    <w:bookmarkStart w:name="z2762" w:id="322"/>
    <w:p>
      <w:pPr>
        <w:spacing w:after="0"/>
        <w:ind w:left="0"/>
        <w:jc w:val="both"/>
      </w:pPr>
      <w:r>
        <w:rPr>
          <w:rFonts w:ascii="Times New Roman"/>
          <w:b w:val="false"/>
          <w:i w:val="false"/>
          <w:color w:val="000000"/>
          <w:sz w:val="28"/>
        </w:rPr>
        <w:t>
      SРн = (SР2 х 100/SР1) х 0,3,</w:t>
      </w:r>
    </w:p>
    <w:bookmarkEnd w:id="322"/>
    <w:bookmarkStart w:name="z2763" w:id="323"/>
    <w:p>
      <w:pPr>
        <w:spacing w:after="0"/>
        <w:ind w:left="0"/>
        <w:jc w:val="both"/>
      </w:pPr>
      <w:r>
        <w:rPr>
          <w:rFonts w:ascii="Times New Roman"/>
          <w:b w:val="false"/>
          <w:i w:val="false"/>
          <w:color w:val="000000"/>
          <w:sz w:val="28"/>
        </w:rPr>
        <w:t>
      где:</w:t>
      </w:r>
    </w:p>
    <w:bookmarkEnd w:id="323"/>
    <w:bookmarkStart w:name="z2764" w:id="324"/>
    <w:p>
      <w:pPr>
        <w:spacing w:after="0"/>
        <w:ind w:left="0"/>
        <w:jc w:val="both"/>
      </w:pPr>
      <w:r>
        <w:rPr>
          <w:rFonts w:ascii="Times New Roman"/>
          <w:b w:val="false"/>
          <w:i w:val="false"/>
          <w:color w:val="000000"/>
          <w:sz w:val="28"/>
        </w:rPr>
        <w:t>
      SРн – показатель незначительных нарушений;</w:t>
      </w:r>
    </w:p>
    <w:bookmarkEnd w:id="324"/>
    <w:bookmarkStart w:name="z2765" w:id="325"/>
    <w:p>
      <w:pPr>
        <w:spacing w:after="0"/>
        <w:ind w:left="0"/>
        <w:jc w:val="both"/>
      </w:pPr>
      <w:r>
        <w:rPr>
          <w:rFonts w:ascii="Times New Roman"/>
          <w:b w:val="false"/>
          <w:i w:val="false"/>
          <w:color w:val="000000"/>
          <w:sz w:val="28"/>
        </w:rPr>
        <w:t>
      SР1 – требуемое количество незначительных нарушений;</w:t>
      </w:r>
    </w:p>
    <w:bookmarkEnd w:id="325"/>
    <w:bookmarkStart w:name="z2766" w:id="326"/>
    <w:p>
      <w:pPr>
        <w:spacing w:after="0"/>
        <w:ind w:left="0"/>
        <w:jc w:val="both"/>
      </w:pPr>
      <w:r>
        <w:rPr>
          <w:rFonts w:ascii="Times New Roman"/>
          <w:b w:val="false"/>
          <w:i w:val="false"/>
          <w:color w:val="000000"/>
          <w:sz w:val="28"/>
        </w:rPr>
        <w:t>
      SР2 – количество выявленных незначительных нарушений;</w:t>
      </w:r>
    </w:p>
    <w:bookmarkEnd w:id="326"/>
    <w:bookmarkStart w:name="z2767" w:id="327"/>
    <w:p>
      <w:pPr>
        <w:spacing w:after="0"/>
        <w:ind w:left="0"/>
        <w:jc w:val="both"/>
      </w:pPr>
      <w:r>
        <w:rPr>
          <w:rFonts w:ascii="Times New Roman"/>
          <w:b w:val="false"/>
          <w:i w:val="false"/>
          <w:color w:val="000000"/>
          <w:sz w:val="28"/>
        </w:rPr>
        <w:t>
      Общий показатель степени риска (SР) рассчитывается по шкале от 0 до 100 и определяется путем суммирования показателей значительных и незначительных нарушений по следующей формуле:</w:t>
      </w:r>
    </w:p>
    <w:bookmarkEnd w:id="327"/>
    <w:bookmarkStart w:name="z2768" w:id="328"/>
    <w:p>
      <w:pPr>
        <w:spacing w:after="0"/>
        <w:ind w:left="0"/>
        <w:jc w:val="both"/>
      </w:pPr>
      <w:r>
        <w:rPr>
          <w:rFonts w:ascii="Times New Roman"/>
          <w:b w:val="false"/>
          <w:i w:val="false"/>
          <w:color w:val="000000"/>
          <w:sz w:val="28"/>
        </w:rPr>
        <w:t>
      SР = SРз + SРн,</w:t>
      </w:r>
    </w:p>
    <w:bookmarkEnd w:id="328"/>
    <w:bookmarkStart w:name="z2769" w:id="329"/>
    <w:p>
      <w:pPr>
        <w:spacing w:after="0"/>
        <w:ind w:left="0"/>
        <w:jc w:val="both"/>
      </w:pPr>
      <w:r>
        <w:rPr>
          <w:rFonts w:ascii="Times New Roman"/>
          <w:b w:val="false"/>
          <w:i w:val="false"/>
          <w:color w:val="000000"/>
          <w:sz w:val="28"/>
        </w:rPr>
        <w:t>
      где:</w:t>
      </w:r>
    </w:p>
    <w:bookmarkEnd w:id="329"/>
    <w:bookmarkStart w:name="z2770" w:id="330"/>
    <w:p>
      <w:pPr>
        <w:spacing w:after="0"/>
        <w:ind w:left="0"/>
        <w:jc w:val="both"/>
      </w:pPr>
      <w:r>
        <w:rPr>
          <w:rFonts w:ascii="Times New Roman"/>
          <w:b w:val="false"/>
          <w:i w:val="false"/>
          <w:color w:val="000000"/>
          <w:sz w:val="28"/>
        </w:rPr>
        <w:t>
      SР – общий показатель степени риска;</w:t>
      </w:r>
    </w:p>
    <w:bookmarkEnd w:id="330"/>
    <w:bookmarkStart w:name="z2771" w:id="331"/>
    <w:p>
      <w:pPr>
        <w:spacing w:after="0"/>
        <w:ind w:left="0"/>
        <w:jc w:val="both"/>
      </w:pPr>
      <w:r>
        <w:rPr>
          <w:rFonts w:ascii="Times New Roman"/>
          <w:b w:val="false"/>
          <w:i w:val="false"/>
          <w:color w:val="000000"/>
          <w:sz w:val="28"/>
        </w:rPr>
        <w:t>
      SРз – показатель значительных нарушений;</w:t>
      </w:r>
    </w:p>
    <w:bookmarkEnd w:id="331"/>
    <w:bookmarkStart w:name="z2772" w:id="332"/>
    <w:p>
      <w:pPr>
        <w:spacing w:after="0"/>
        <w:ind w:left="0"/>
        <w:jc w:val="both"/>
      </w:pPr>
      <w:r>
        <w:rPr>
          <w:rFonts w:ascii="Times New Roman"/>
          <w:b w:val="false"/>
          <w:i w:val="false"/>
          <w:color w:val="000000"/>
          <w:sz w:val="28"/>
        </w:rPr>
        <w:t>
      SРн – показатель незначительных нарушений.</w:t>
      </w:r>
    </w:p>
    <w:bookmarkEnd w:id="332"/>
    <w:bookmarkStart w:name="z2773" w:id="333"/>
    <w:p>
      <w:pPr>
        <w:spacing w:after="0"/>
        <w:ind w:left="0"/>
        <w:jc w:val="left"/>
      </w:pPr>
      <w:r>
        <w:rPr>
          <w:rFonts w:ascii="Times New Roman"/>
          <w:b/>
          <w:i w:val="false"/>
          <w:color w:val="000000"/>
        </w:rPr>
        <w:t xml:space="preserve"> Глава 4. Управление рисками</w:t>
      </w:r>
    </w:p>
    <w:bookmarkEnd w:id="333"/>
    <w:bookmarkStart w:name="z2774" w:id="334"/>
    <w:p>
      <w:pPr>
        <w:spacing w:after="0"/>
        <w:ind w:left="0"/>
        <w:jc w:val="both"/>
      </w:pPr>
      <w:r>
        <w:rPr>
          <w:rFonts w:ascii="Times New Roman"/>
          <w:b w:val="false"/>
          <w:i w:val="false"/>
          <w:color w:val="000000"/>
          <w:sz w:val="28"/>
        </w:rPr>
        <w:t>
      13. В целях реализации принципа поощрения добросовестных субъектов контроля и концентрации контроля на нарушителях субъекты (объекты) контроля освобождаются от проведения профилактического контроля с посещением субъекта (объекта) контроля на период, определяемый критериями оценки степени риска органа государственного контроля в области аккредитации и оценки соответствия, посредством применения субъективных критериев.</w:t>
      </w:r>
    </w:p>
    <w:bookmarkEnd w:id="334"/>
    <w:bookmarkStart w:name="z2775" w:id="335"/>
    <w:p>
      <w:pPr>
        <w:spacing w:after="0"/>
        <w:ind w:left="0"/>
        <w:jc w:val="both"/>
      </w:pPr>
      <w:r>
        <w:rPr>
          <w:rFonts w:ascii="Times New Roman"/>
          <w:b w:val="false"/>
          <w:i w:val="false"/>
          <w:color w:val="000000"/>
          <w:sz w:val="28"/>
        </w:rPr>
        <w:t>
      14. Субъекты (объекты) контроля переводятся с применением информационной системы с высокой степени риска в среднюю степень риска или со средней степени риска в низкую степень риска в соответствующих сферах деятельности субъектов контроля в случаях:</w:t>
      </w:r>
    </w:p>
    <w:bookmarkEnd w:id="335"/>
    <w:bookmarkStart w:name="z2776" w:id="336"/>
    <w:p>
      <w:pPr>
        <w:spacing w:after="0"/>
        <w:ind w:left="0"/>
        <w:jc w:val="both"/>
      </w:pPr>
      <w:r>
        <w:rPr>
          <w:rFonts w:ascii="Times New Roman"/>
          <w:b w:val="false"/>
          <w:i w:val="false"/>
          <w:color w:val="000000"/>
          <w:sz w:val="28"/>
        </w:rPr>
        <w:t>
      1) если такие субъекты заключили договоры страхования гражданско-правовой ответственности перед третьими лицами в случаях и порядке, установленных законами Республики Казахстан;</w:t>
      </w:r>
    </w:p>
    <w:bookmarkEnd w:id="336"/>
    <w:bookmarkStart w:name="z2777" w:id="337"/>
    <w:p>
      <w:pPr>
        <w:spacing w:after="0"/>
        <w:ind w:left="0"/>
        <w:jc w:val="both"/>
      </w:pPr>
      <w:r>
        <w:rPr>
          <w:rFonts w:ascii="Times New Roman"/>
          <w:b w:val="false"/>
          <w:i w:val="false"/>
          <w:color w:val="000000"/>
          <w:sz w:val="28"/>
        </w:rPr>
        <w:t>
      2) если в законах Республики Казахстан и критериях оценки степени риска органа государственного контроля в области аккредитации и оценки соответствия определены случаи освобождения от профилактического контроля с посещением субъекта (объекта) контроля;</w:t>
      </w:r>
    </w:p>
    <w:bookmarkEnd w:id="337"/>
    <w:bookmarkStart w:name="z2778" w:id="338"/>
    <w:p>
      <w:pPr>
        <w:spacing w:after="0"/>
        <w:ind w:left="0"/>
        <w:jc w:val="both"/>
      </w:pPr>
      <w:r>
        <w:rPr>
          <w:rFonts w:ascii="Times New Roman"/>
          <w:b w:val="false"/>
          <w:i w:val="false"/>
          <w:color w:val="000000"/>
          <w:sz w:val="28"/>
        </w:rPr>
        <w:t xml:space="preserve">
      3) если субъекты являются членами саморегулируемой организации, основанной на добровольном членстве (участии)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саморегулировании", с которой заключено соглашение о признании результатов деятельности саморегулируемой организации.</w:t>
      </w:r>
    </w:p>
    <w:bookmarkEnd w:id="338"/>
    <w:bookmarkStart w:name="z2779" w:id="339"/>
    <w:p>
      <w:pPr>
        <w:spacing w:after="0"/>
        <w:ind w:left="0"/>
        <w:jc w:val="both"/>
      </w:pPr>
      <w:r>
        <w:rPr>
          <w:rFonts w:ascii="Times New Roman"/>
          <w:b w:val="false"/>
          <w:i w:val="false"/>
          <w:color w:val="000000"/>
          <w:sz w:val="28"/>
        </w:rPr>
        <w:t>
      15. Система оценки и управления рисками государственными органами ведется с использованием информационных систем, относящих субъекты (объекты) контроля к конкретным степеням риска и формирующих списки проведения контрольных мероприятий, а также основывается на государственной статистике, итогах ведомственного статистического наблюдения, а также информационных инструментах.</w:t>
      </w:r>
    </w:p>
    <w:bookmarkEnd w:id="339"/>
    <w:bookmarkStart w:name="z2780" w:id="340"/>
    <w:p>
      <w:pPr>
        <w:spacing w:after="0"/>
        <w:ind w:left="0"/>
        <w:jc w:val="both"/>
      </w:pPr>
      <w:r>
        <w:rPr>
          <w:rFonts w:ascii="Times New Roman"/>
          <w:b w:val="false"/>
          <w:i w:val="false"/>
          <w:color w:val="000000"/>
          <w:sz w:val="28"/>
        </w:rPr>
        <w:t>
      При отсутствии информационной системы оценки и управления рисками минимально допустимый порог количества субъектов (объектов) контроля, в отношении которых осуществляются профилактический контроль с посещением субъекта (объекта) контроля, не должен превышать пяти процентов от общего количества таких субъектов контроля в сфере аккредитации и оценки соответствия.</w:t>
      </w:r>
    </w:p>
    <w:bookmarkEnd w:id="3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об аккредитации в области</w:t>
            </w:r>
            <w:r>
              <w:br/>
            </w:r>
            <w:r>
              <w:rPr>
                <w:rFonts w:ascii="Times New Roman"/>
                <w:b w:val="false"/>
                <w:i w:val="false"/>
                <w:color w:val="000000"/>
                <w:sz w:val="20"/>
              </w:rPr>
              <w:t>оценки соответствия</w:t>
            </w:r>
          </w:p>
        </w:tc>
      </w:tr>
    </w:tbl>
    <w:bookmarkStart w:name="z2782" w:id="341"/>
    <w:p>
      <w:pPr>
        <w:spacing w:after="0"/>
        <w:ind w:left="0"/>
        <w:jc w:val="left"/>
      </w:pPr>
      <w:r>
        <w:rPr>
          <w:rFonts w:ascii="Times New Roman"/>
          <w:b/>
          <w:i w:val="false"/>
          <w:color w:val="000000"/>
        </w:rPr>
        <w:t xml:space="preserve"> Субъективные критерии по результатам мониторинга отчетности и сведений, представляемых субъектом контроля</w:t>
      </w:r>
    </w:p>
    <w:bookmarkEnd w:id="3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соблюдением законодательства Республики Казахстан об аккредитации в области оценки соответствия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отсутствие сертификата о поверке, метрологической аттестации используемых средств измерений, о нарушении запрета на выпуск в обращение, применение, реализацию средств измерений и стандартных образцов, не прошедших испытания для целей утверждения типа или метрологическую аттестацию и не включенных в реестр государственной системы обеспечения единства измерений в результате мониторинга автоматизированных информационных систем и (или) отчета отраслевой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методик выполнения измерений без регистрации в реестре государственной системы обеспечения единства измерений в результате мониторинга автоматизированных информационных систем и (или) отчета отраслевой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поверка средств измерений, метрологической аттестации методик выполнения измерений без аккредитации в результате мониторинга автоматизированных информационных систем и (или) отчета отраслевой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обязанности по осуществлению работ в пределах области аккредитации по результатам мониторинга автоматизированных информационных систем и (или) отчета отраслевой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подтверждение соответствия продукции, проведении испытаний без аттестата аккредитации в области оценки соответствия по результатам мониторинга автоматизированных информационных систем и (или) отчета отраслевой организации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несоблюдение этапов аккредитации (прием, рассмотрения заявки и представленных документов, заключение предаккредитационного договора, экспертиза представленных документов, обследование заявителя по месту нахождения, принятие решения об аккредитации либо об отказе в аккредитации, утверждение области аккредитации и выдача аттестата аккредитации либо прекращение предаккредитационного договора) и сроки их исполнения, а также сроки проведения инспекционной проверки, в том числе внеочередной при проведении работ по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требования введения интернет-ресурса и реестра субъектов аккредитации, рассмотрение жалоб субъектов аккредитации и размещение на интернет ресурсе информации о принятых решениях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и сроков об уведомлении уполномоченного органа в области технического регулирования и обеспечения единства измерений, в случае отзыва аттестата аккредитации и прекращения постаккредитационного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требований при рассмотрении заявки о переоформлении аттестата аккредитации, актуализации материалов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соблюдение процедур отзыва, возврата аттестата аккредитации и обращения в суд с заявлением об аннулировании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об аккредитации в области</w:t>
            </w:r>
            <w:r>
              <w:br/>
            </w:r>
            <w:r>
              <w:rPr>
                <w:rFonts w:ascii="Times New Roman"/>
                <w:b w:val="false"/>
                <w:i w:val="false"/>
                <w:color w:val="000000"/>
                <w:sz w:val="20"/>
              </w:rPr>
              <w:t>оценки соответствия</w:t>
            </w:r>
          </w:p>
        </w:tc>
      </w:tr>
    </w:tbl>
    <w:bookmarkStart w:name="z2784" w:id="342"/>
    <w:p>
      <w:pPr>
        <w:spacing w:after="0"/>
        <w:ind w:left="0"/>
        <w:jc w:val="left"/>
      </w:pPr>
      <w:r>
        <w:rPr>
          <w:rFonts w:ascii="Times New Roman"/>
          <w:b/>
          <w:i w:val="false"/>
          <w:color w:val="000000"/>
        </w:rPr>
        <w:t xml:space="preserve"> Субъективные критерии по результатам предыдущих проверок и профилактического контроля с посещением субъектов (объектов) контроля</w:t>
      </w:r>
    </w:p>
    <w:bookmarkEnd w:id="3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соблюдением законодательства Республики Казахстан об аккредитации в области оценки соответствия в отношении органа по аккредитации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этапов аккредитации:</w:t>
            </w:r>
          </w:p>
          <w:p>
            <w:pPr>
              <w:spacing w:after="20"/>
              <w:ind w:left="20"/>
              <w:jc w:val="both"/>
            </w:pPr>
            <w:r>
              <w:rPr>
                <w:rFonts w:ascii="Times New Roman"/>
                <w:b w:val="false"/>
                <w:i w:val="false"/>
                <w:color w:val="000000"/>
                <w:sz w:val="20"/>
              </w:rPr>
              <w:t xml:space="preserve">
1) наличие заявки и представленных документов; </w:t>
            </w:r>
          </w:p>
          <w:p>
            <w:pPr>
              <w:spacing w:after="20"/>
              <w:ind w:left="20"/>
              <w:jc w:val="both"/>
            </w:pPr>
            <w:r>
              <w:rPr>
                <w:rFonts w:ascii="Times New Roman"/>
                <w:b w:val="false"/>
                <w:i w:val="false"/>
                <w:color w:val="000000"/>
                <w:sz w:val="20"/>
              </w:rPr>
              <w:t xml:space="preserve">
2) наличие предаккредитационного договора; </w:t>
            </w:r>
          </w:p>
          <w:p>
            <w:pPr>
              <w:spacing w:after="20"/>
              <w:ind w:left="20"/>
              <w:jc w:val="both"/>
            </w:pPr>
            <w:r>
              <w:rPr>
                <w:rFonts w:ascii="Times New Roman"/>
                <w:b w:val="false"/>
                <w:i w:val="false"/>
                <w:color w:val="000000"/>
                <w:sz w:val="20"/>
              </w:rPr>
              <w:t xml:space="preserve">
3) экспертиза представленных документов; </w:t>
            </w:r>
          </w:p>
          <w:p>
            <w:pPr>
              <w:spacing w:after="20"/>
              <w:ind w:left="20"/>
              <w:jc w:val="both"/>
            </w:pPr>
            <w:r>
              <w:rPr>
                <w:rFonts w:ascii="Times New Roman"/>
                <w:b w:val="false"/>
                <w:i w:val="false"/>
                <w:color w:val="000000"/>
                <w:sz w:val="20"/>
              </w:rPr>
              <w:t xml:space="preserve">
4) наличие подтверждающих документов об обследовании заявителя по месту нахождения; </w:t>
            </w:r>
          </w:p>
          <w:p>
            <w:pPr>
              <w:spacing w:after="20"/>
              <w:ind w:left="20"/>
              <w:jc w:val="both"/>
            </w:pPr>
            <w:r>
              <w:rPr>
                <w:rFonts w:ascii="Times New Roman"/>
                <w:b w:val="false"/>
                <w:i w:val="false"/>
                <w:color w:val="000000"/>
                <w:sz w:val="20"/>
              </w:rPr>
              <w:t>
5) наличие решения об аккредитации либо об отказе в аккредитации;</w:t>
            </w:r>
          </w:p>
          <w:p>
            <w:pPr>
              <w:spacing w:after="20"/>
              <w:ind w:left="20"/>
              <w:jc w:val="both"/>
            </w:pPr>
            <w:r>
              <w:rPr>
                <w:rFonts w:ascii="Times New Roman"/>
                <w:b w:val="false"/>
                <w:i w:val="false"/>
                <w:color w:val="000000"/>
                <w:sz w:val="20"/>
              </w:rPr>
              <w:t xml:space="preserve">
6) утверждение области аккредитации и выдача аттестата аккредитации либо прекращение предаккредитационного договора. </w:t>
            </w:r>
          </w:p>
          <w:p>
            <w:pPr>
              <w:spacing w:after="20"/>
              <w:ind w:left="20"/>
              <w:jc w:val="both"/>
            </w:pPr>
            <w:r>
              <w:rPr>
                <w:rFonts w:ascii="Times New Roman"/>
                <w:b w:val="false"/>
                <w:i w:val="false"/>
                <w:color w:val="000000"/>
                <w:sz w:val="20"/>
              </w:rPr>
              <w:t>
Соблюдение основных этапов аккредитации при повторной аккредитации проводится с соблюдением всех указанных этапов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указывание в аттестате аккредитации наименования организационно-правовой формы, места нахождения субъекта аккредитации; нормативного документа, на соответствие которому аккредитован субъект аккредитации; регистрационного номера аттестата аккредитации; даты регистрации аттестата аккредитации в реестре субъектов аккредитации; срока действия аттестата аккредитации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объектов оценки соответствия, входящих в область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фамилии, имени, отчества (при его наличии) руководителя субъекта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и основания переоформления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основания актуализации материалов аккредитации и информации об актуализированных материалах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проведения и результатов плановых и внеплановых оценок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и основания отзыва и возобновления действия отозванного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и основания прекращения действия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аннулирования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отметки о выдаче дубликата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и основания приостановления и лишения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ведение реестра субъектов аккредитации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поддержание интернет-ресурса (официальное опубликование на нем реестра субъектов аккредитации и размещение нормативных правовых актов по аккредитации в области оценки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направленного в уполномоченный орган в области технического регулирования и обеспечения единства измерений об отзыве аттестата аккредитации и прекращения постаккредитационного договора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 сроков при рассмотрении заявки о переоформлении аттестата аккредитации, актуализации материалов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жалоб и апелляции и принятие по ним решения, размещение на интернет-ресурсе информации о принятых решениях</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заявителем в орган по аккредитации следующих документов:</w:t>
            </w:r>
          </w:p>
          <w:p>
            <w:pPr>
              <w:spacing w:after="20"/>
              <w:ind w:left="20"/>
              <w:jc w:val="both"/>
            </w:pPr>
            <w:r>
              <w:rPr>
                <w:rFonts w:ascii="Times New Roman"/>
                <w:b w:val="false"/>
                <w:i w:val="false"/>
                <w:color w:val="000000"/>
                <w:sz w:val="20"/>
              </w:rPr>
              <w:t xml:space="preserve">
1) заявку на аккредитацию; </w:t>
            </w:r>
          </w:p>
          <w:p>
            <w:pPr>
              <w:spacing w:after="20"/>
              <w:ind w:left="20"/>
              <w:jc w:val="both"/>
            </w:pPr>
            <w:r>
              <w:rPr>
                <w:rFonts w:ascii="Times New Roman"/>
                <w:b w:val="false"/>
                <w:i w:val="false"/>
                <w:color w:val="000000"/>
                <w:sz w:val="20"/>
              </w:rPr>
              <w:t xml:space="preserve">
2) нотариально засвидетельствованные копии документов, устанавливающие юридический статус заявителя; </w:t>
            </w:r>
          </w:p>
          <w:p>
            <w:pPr>
              <w:spacing w:after="20"/>
              <w:ind w:left="20"/>
              <w:jc w:val="both"/>
            </w:pPr>
            <w:r>
              <w:rPr>
                <w:rFonts w:ascii="Times New Roman"/>
                <w:b w:val="false"/>
                <w:i w:val="false"/>
                <w:color w:val="000000"/>
                <w:sz w:val="20"/>
              </w:rPr>
              <w:t>
3) заявляемую область аккредитации;</w:t>
            </w:r>
          </w:p>
          <w:p>
            <w:pPr>
              <w:spacing w:after="20"/>
              <w:ind w:left="20"/>
              <w:jc w:val="both"/>
            </w:pPr>
            <w:r>
              <w:rPr>
                <w:rFonts w:ascii="Times New Roman"/>
                <w:b w:val="false"/>
                <w:i w:val="false"/>
                <w:color w:val="000000"/>
                <w:sz w:val="20"/>
              </w:rPr>
              <w:t>
4) руководство по качеству;</w:t>
            </w:r>
          </w:p>
          <w:p>
            <w:pPr>
              <w:spacing w:after="20"/>
              <w:ind w:left="20"/>
              <w:jc w:val="both"/>
            </w:pPr>
            <w:r>
              <w:rPr>
                <w:rFonts w:ascii="Times New Roman"/>
                <w:b w:val="false"/>
                <w:i w:val="false"/>
                <w:color w:val="000000"/>
                <w:sz w:val="20"/>
              </w:rPr>
              <w:t>
5) паспорт по заявленному направлению деятельности в области оценки соответствия;</w:t>
            </w:r>
          </w:p>
          <w:p>
            <w:pPr>
              <w:spacing w:after="20"/>
              <w:ind w:left="20"/>
              <w:jc w:val="both"/>
            </w:pPr>
            <w:r>
              <w:rPr>
                <w:rFonts w:ascii="Times New Roman"/>
                <w:b w:val="false"/>
                <w:i w:val="false"/>
                <w:color w:val="000000"/>
                <w:sz w:val="20"/>
              </w:rPr>
              <w:t>
6) сведения о персонале, выполняющем работы по оценке соответствия, для органов по подтверждению соответствия;</w:t>
            </w:r>
          </w:p>
          <w:p>
            <w:pPr>
              <w:spacing w:after="20"/>
              <w:ind w:left="20"/>
              <w:jc w:val="both"/>
            </w:pPr>
            <w:r>
              <w:rPr>
                <w:rFonts w:ascii="Times New Roman"/>
                <w:b w:val="false"/>
                <w:i w:val="false"/>
                <w:color w:val="000000"/>
                <w:sz w:val="20"/>
              </w:rPr>
              <w:t>
7) положение о структурных подразделениях и их структуру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субъекта аккредитации с обоснованием причин актуализации и двух экземпляров документов, в которые были внесены изменения при актуализации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 аккредитации в случае:</w:t>
            </w:r>
          </w:p>
          <w:p>
            <w:pPr>
              <w:spacing w:after="20"/>
              <w:ind w:left="20"/>
              <w:jc w:val="both"/>
            </w:pPr>
            <w:r>
              <w:rPr>
                <w:rFonts w:ascii="Times New Roman"/>
                <w:b w:val="false"/>
                <w:i w:val="false"/>
                <w:color w:val="000000"/>
                <w:sz w:val="20"/>
              </w:rPr>
              <w:t xml:space="preserve">
1) реорганизация субъекта аккредитации; </w:t>
            </w:r>
          </w:p>
          <w:p>
            <w:pPr>
              <w:spacing w:after="20"/>
              <w:ind w:left="20"/>
              <w:jc w:val="both"/>
            </w:pPr>
            <w:r>
              <w:rPr>
                <w:rFonts w:ascii="Times New Roman"/>
                <w:b w:val="false"/>
                <w:i w:val="false"/>
                <w:color w:val="000000"/>
                <w:sz w:val="20"/>
              </w:rPr>
              <w:t xml:space="preserve">
2) изменение места нахождения субъекта аккредитации; </w:t>
            </w:r>
          </w:p>
          <w:p>
            <w:pPr>
              <w:spacing w:after="20"/>
              <w:ind w:left="20"/>
              <w:jc w:val="both"/>
            </w:pPr>
            <w:r>
              <w:rPr>
                <w:rFonts w:ascii="Times New Roman"/>
                <w:b w:val="false"/>
                <w:i w:val="false"/>
                <w:color w:val="000000"/>
                <w:sz w:val="20"/>
              </w:rPr>
              <w:t xml:space="preserve">
3) изменение наименования субъекта аккредитации; </w:t>
            </w:r>
          </w:p>
          <w:p>
            <w:pPr>
              <w:spacing w:after="20"/>
              <w:ind w:left="20"/>
              <w:jc w:val="both"/>
            </w:pPr>
            <w:r>
              <w:rPr>
                <w:rFonts w:ascii="Times New Roman"/>
                <w:b w:val="false"/>
                <w:i w:val="false"/>
                <w:color w:val="000000"/>
                <w:sz w:val="20"/>
              </w:rPr>
              <w:t>
4) заявление субъекта аккредитации о расширении или сокращении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нормативный документ, указанный в документах субъекта аккредитации, и (или) введения в действие нового нормативного документа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материалов аккредитации при изменении состава специалистов, осуществляющих работы по оценке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материалов аккредитации при замене средств измерений и испытательного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органом по аккредитации в срок не более десяти рабочих дней с момента их поступления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решения органа аккредитации в случае переоформления аттестата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отказе органом по аккредитации в актуализации материалов аккредитации, в случае выявлении в представленных документах и сведениях недостоверной информации и (или) информации, касающейся расширения области аккредитации, а так же срока уведомления субъекта аккредитации о принятии такого решения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направленное субъекту аккредитации о принятом решении по актуализации материалов аккредитации </w:t>
            </w:r>
          </w:p>
          <w:p>
            <w:pPr>
              <w:spacing w:after="20"/>
              <w:ind w:left="20"/>
              <w:jc w:val="both"/>
            </w:pPr>
            <w:r>
              <w:rPr>
                <w:rFonts w:ascii="Times New Roman"/>
                <w:b w:val="false"/>
                <w:i w:val="false"/>
                <w:color w:val="000000"/>
                <w:sz w:val="20"/>
              </w:rPr>
              <w:t>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субъекта аккредитации в орган по аккредитации в случае отзыва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органом по аккредитации при выявлении несоответствий критериям аккредитации, влияющих на достоверность результатов оценки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при не устранении выявленных несоответствий критериям аккредитации в установленный органом по аккредитации срок</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органом по аккредитации в случае подтверждения фактов, указанных в жалобе либо сообщении государственного органа, о допущении субъектом аккредитации нарушений критериев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при не устранении выявленных отрицательных результатов сравнительных испытаний и (или) сличений результатов поверки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по результатам мониторинга деятельности субъектов аккредитации при обнаружении нарушений критериев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отзыв аттестата аккредитации при непредставлении или представлении недостоверных данных в течение десяти календарных дней от даты выдачи документа об оценке (подтверждении) соответствия сведений по электронному учету результатов работ по оценке (подтверждению) соответствия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в части деятельности структурного подразделения субъекта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при принятии решения о временном признании недействительной части области аккредитации, субъекта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в области технического регулирования и обеспечения единства измерений собранных материалов органом по аккредитации для принятие соответствующих мер в случае, если в выявленных несоответствиях критериям аккредитации имеются признаки состава административного правонарушения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решения об отзыве аттестата аккредитации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от даты получения субъектом аккредитации копии решения об отзыве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отзыв аттестата аккредитации с даты получения субъектом аккредитации копии решения об отзыве аттестата аккредитации и возобновления с даты принятия органом по аккредитации решения о возобновлении аттестата аккредитации, но не ранее чем через два месяца с даты принятия решения об отзыве аттестата аккредитации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по аккредитации внеплановой оценки для подтверждения сведений об устранении выявленных несоответствий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возобновлении либо об отказе в возобновлении аттестата аккредитации или части области аккредитации органом по аккредитации в течение десяти рабочих дней, исчисляемых со дня представления субъектом аккредитации сведений об устранении несоответствий, а в случаях проведения плановой и внеплановой оценок - со дня ее окончания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аттестата аккредитации не ранее чем через два месяца с даты принятия решения об отзыве, в случае если орган по аккредитации письменно не уведомил субъект аккредитации о своем решении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аттестата аккредитации по следующим основаниям:</w:t>
            </w:r>
          </w:p>
          <w:p>
            <w:pPr>
              <w:spacing w:after="20"/>
              <w:ind w:left="20"/>
              <w:jc w:val="both"/>
            </w:pPr>
            <w:r>
              <w:rPr>
                <w:rFonts w:ascii="Times New Roman"/>
                <w:b w:val="false"/>
                <w:i w:val="false"/>
                <w:color w:val="000000"/>
                <w:sz w:val="20"/>
              </w:rPr>
              <w:t>
1) письменного заявления субъекта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аннулирование аттестата аккредитации по заявлению органа по аккредитации в случае, выявления предоставления заявителем или субъектом аккредитации ложной информации при получении аккредитации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руководителем органа по аккредитации постоянно действующей комиссии по рассмотрению материалов аккредитации для рассмотрения материалов аккредитации и принятия решений по ним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деятельности субъектов аккредитации путем наблюдения органом по аккредитации за результатами оказанных субъектами аккредитации работ, услуг и процессов в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ежеквартальных результатов плановых и внеплановых оценок, а также мониторинга деятельности субъекта аккредитации в уполномоченный орган в области технического регулирования и обеспечения единства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внедрения и применении документов специализированных международных организаций, устанавливающих общие критерии и правила в области аккредитации и оценки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мониторинга соответствия надлежавшей лабораторной практики, с целью проведения проверки процедур и нормативов, применяемых лабораториями, включенными в программу мониторинга соответствия принципам надлежащей лабораторной практики, для оценки степени соответствия лабораторий принципам надлежащей лабораторной практики и сравнения первичных данных и записей с данными и записями, содержащимися в промежуточных и заключительных отчетах лабораторий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мониторинга деятельности субъектов аккредитации на предмет:</w:t>
            </w:r>
          </w:p>
          <w:p>
            <w:pPr>
              <w:spacing w:after="20"/>
              <w:ind w:left="20"/>
              <w:jc w:val="both"/>
            </w:pPr>
            <w:r>
              <w:rPr>
                <w:rFonts w:ascii="Times New Roman"/>
                <w:b w:val="false"/>
                <w:i w:val="false"/>
                <w:color w:val="000000"/>
                <w:sz w:val="20"/>
              </w:rPr>
              <w:t>
1) наличие документов подтверждающих статус юридического лица либо структурного подразделения юридического лица, действующего от его имени;</w:t>
            </w:r>
          </w:p>
          <w:p>
            <w:pPr>
              <w:spacing w:after="20"/>
              <w:ind w:left="20"/>
              <w:jc w:val="both"/>
            </w:pPr>
            <w:r>
              <w:rPr>
                <w:rFonts w:ascii="Times New Roman"/>
                <w:b w:val="false"/>
                <w:i w:val="false"/>
                <w:color w:val="000000"/>
                <w:sz w:val="20"/>
              </w:rPr>
              <w:t>
2) наличие документов подтверждающих квалификацию персонала, позволяющий выполнять работы по оценке соответствия в заявленной области аккредитации;</w:t>
            </w:r>
          </w:p>
          <w:p>
            <w:pPr>
              <w:spacing w:after="20"/>
              <w:ind w:left="20"/>
              <w:jc w:val="both"/>
            </w:pPr>
            <w:r>
              <w:rPr>
                <w:rFonts w:ascii="Times New Roman"/>
                <w:b w:val="false"/>
                <w:i w:val="false"/>
                <w:color w:val="000000"/>
                <w:sz w:val="20"/>
              </w:rPr>
              <w:t>
3) наличие права собственности, хозяйственного ведения, оперативного управления или во временном владении и пользовании помещения, оборудование и материальные ресурсы, необходимые для выполнения работ по оценке соответствия;</w:t>
            </w:r>
          </w:p>
          <w:p>
            <w:pPr>
              <w:spacing w:after="20"/>
              <w:ind w:left="20"/>
              <w:jc w:val="both"/>
            </w:pPr>
            <w:r>
              <w:rPr>
                <w:rFonts w:ascii="Times New Roman"/>
                <w:b w:val="false"/>
                <w:i w:val="false"/>
                <w:color w:val="000000"/>
                <w:sz w:val="20"/>
              </w:rPr>
              <w:t>
4) соответствие требованиям нормативных документов, на соответствие которым они аккредитуются (аккредитованы) с учетом схемы аккредитации;</w:t>
            </w:r>
          </w:p>
          <w:p>
            <w:pPr>
              <w:spacing w:after="20"/>
              <w:ind w:left="20"/>
              <w:jc w:val="both"/>
            </w:pPr>
            <w:r>
              <w:rPr>
                <w:rFonts w:ascii="Times New Roman"/>
                <w:b w:val="false"/>
                <w:i w:val="false"/>
                <w:color w:val="000000"/>
                <w:sz w:val="20"/>
              </w:rPr>
              <w:t>
5) проведение работ по оценке соответствия в полном объеме и в пределах, утвержденных в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органом по аккредитации представленных документов и уведомления субъекта аккредитации о результатах анализа в течение 20 (двадцати) рабочих дней с даты представления документов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мониторинга деятельности субъектов аккредитации с использованием реестра данных государственной системы технического регулирования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ежеквартальных отчетов о результатах мониторинга на официальном сайте органа по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органом по аккредитации информации о выявленных нарушениях в уполномоченный орган в области технического регулирования и обеспечения единства измерений, в случае установления нарушения критериев аккредитации по результатам мониторинга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юридических лиц, осуществляющих метрологическую аттестацию методик выполнения измерений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субъектами аккредитации в пределах области аккредитации, и нормативных документов, на соответствие которым они аккредитованы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ссылки на аттестат аккредитации субъектами аккредитации в пределах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органа по аккредитации о прекращении деятельности в утвержденной области аккредитации или предстоящей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несоответствий критериям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субъектом аккредитации аттестат аккредитации в течение пяти рабочих дней со дня получения решения о прекращении действия аттестата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в случае прекращения, аннулирования, приостановления либо лишения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или область аккредитации, которые временно признаны недействительными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аттестата аккредитации в области оценки соответствия выданный органом по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устранении несоответствий,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поверочной лаборатории (центра)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субъектами аккредитации в пределах области аккредитации, и нормативных документов, на соответствие которым они аккредитованы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ссылки на аттестат аккредитации субъектами аккредитации в пределах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органа по аккредитации о прекращении деятельности в утвержденной области аккредитации или предстоящей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значительное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субъектами аккредитации выявленных несоответствий критериям аккредитации в сроки, установленные решением органа по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субъектов аккредитации в сравнительных испытаниях и сличениях результатов поверки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субъектом аккредитации аттестат аккредитации в течение пяти рабочих дней со дня получения решения о прекращении действия аттестата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в случае прекращения, аннулирования, приостановления либо лишения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или область аккредитации, которые временно признаны недействительными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прослеживаемости измерений путем получения размеров единиц величин от государственных эталонов единиц величин, в случае их отсутствия - от национальных эталонов единиц величин других стран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аттестата аккредитации в области поверки средств измерений выданный органом по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субъектами аккредитации сведений об устранении несоответствий,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грубое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хозяйственного ведения, оперативного управления или во временном владении и пользовании помещения, оборудование и материальные ресурсы, необходимые для выполнения работ по поверке средств измерений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отношении органа по подтверждению соответствия и испытательной лаборатории (центра)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субъектами аккредитации в пределах области аккредитации, и нормативных документов, на соответствие которым они аккредитованы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ссылки на аттестат аккредитации субъектами аккредитации в пределах области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органа по аккредитации о прекращении деятельности в утвержденной области аккредитации или предстоящей ликвидации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субъектами аккредитации выявленных несоответствий критериям аккредитации в сроки, установленные решением органа по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субъектов аккредитации в сравнительных испытаниях и сличениях результатов поверки средств измерений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возвращение субъектом аккредитации аттестат аккредитации в течение пяти рабочих дней со дня получения решения о прекращении действия аттестата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в случае прекращения, аннулирования, приостановления либо лишения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субъектами аккредитации ссылки на аттестат аккредитации или область аккредитации, которые временно признаны недействительными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прослеживаемости путем передачи размеров единиц величин от государственных эталонов единиц величин Республики Казахстан осуществленная сертификатом поверки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аттестата аккредитации в области оценки соответствия выданный органом по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сведений об устранении несоответствий,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информации, составляющей коммерческий интерес заявителей, независимо от страны происхождения продукции,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органами по подтверждению соответствия по недопущению оказания консалтинговых услуг в области аккредитации и не допущению аффилированности с лицами, оказывающими эти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или ином законном основании и использование лаборатории, обеспечивающей испытания объектов технического регулирования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об оценке соответствия на продукцию, не соответствующую требованиям технических регламентов и подлежащую изъятию субъектов аккредитации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выдача результатов работ в порядке и по формам, которые определены правилами оценки соответствия лаборатории на условиях договора с органами по подтверждению соответствия или другими заявителями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лабораторией на условиях договора с органами по подтверждению соответствия или другими заявителями фото- и (или) видеофиксаций испытаний, результатов исследований (испытаний) и измерений продукции, если это предусмотрено техническим регламентом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контрольных образцов контрольные образцы исследованной (испытанной) продукции лаборатории на условиях договора с органами по подтверждению соответствия или другими заявителями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незначительное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находящегося на праве собственности или ином законном основании лабораторного оборудования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значительное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об аккредитации в области</w:t>
            </w:r>
            <w:r>
              <w:br/>
            </w:r>
            <w:r>
              <w:rPr>
                <w:rFonts w:ascii="Times New Roman"/>
                <w:b w:val="false"/>
                <w:i w:val="false"/>
                <w:color w:val="000000"/>
                <w:sz w:val="20"/>
              </w:rPr>
              <w:t>оценки соответствия</w:t>
            </w:r>
          </w:p>
        </w:tc>
      </w:tr>
    </w:tbl>
    <w:bookmarkStart w:name="z2811" w:id="343"/>
    <w:p>
      <w:pPr>
        <w:spacing w:after="0"/>
        <w:ind w:left="0"/>
        <w:jc w:val="left"/>
      </w:pPr>
      <w:r>
        <w:rPr>
          <w:rFonts w:ascii="Times New Roman"/>
          <w:b/>
          <w:i w:val="false"/>
          <w:color w:val="000000"/>
        </w:rPr>
        <w:t xml:space="preserve"> Субъективные критерии по подтвержденным жалобам и обращениям</w:t>
      </w:r>
    </w:p>
    <w:bookmarkEnd w:id="3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соблюдением законодательства Республики Казахстан об аккредитации в области оценки соответствия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одной подтвержденной жалобы или обращения за нарушение законодательства Республики Казахстан об аккредитации в области оценки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об аккредитации</w:t>
            </w:r>
            <w:r>
              <w:br/>
            </w:r>
            <w:r>
              <w:rPr>
                <w:rFonts w:ascii="Times New Roman"/>
                <w:b w:val="false"/>
                <w:i w:val="false"/>
                <w:color w:val="000000"/>
                <w:sz w:val="20"/>
              </w:rPr>
              <w:t>в области оценки соответствия</w:t>
            </w:r>
          </w:p>
        </w:tc>
      </w:tr>
    </w:tbl>
    <w:bookmarkStart w:name="z2813" w:id="344"/>
    <w:p>
      <w:pPr>
        <w:spacing w:after="0"/>
        <w:ind w:left="0"/>
        <w:jc w:val="left"/>
      </w:pPr>
      <w:r>
        <w:rPr>
          <w:rFonts w:ascii="Times New Roman"/>
          <w:b/>
          <w:i w:val="false"/>
          <w:color w:val="000000"/>
        </w:rPr>
        <w:t xml:space="preserve"> Субъективные критерии по результатам профилактического контроля без посещения субъекта (объекта) контроля (итоговые документы, выданные по итогам профилактического контроля без посещения субъекта (объекта) контроля)</w:t>
      </w:r>
    </w:p>
    <w:bookmarkEnd w:id="3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соблюдением законодательства Республики Казахстан об аккредитации в области оценки соответствия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Неисполнение рекомендаций выданных по результатам профилактического контроля без посещения субъекта (объекта) контроля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6</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об аккредитации в области</w:t>
            </w:r>
            <w:r>
              <w:br/>
            </w:r>
            <w:r>
              <w:rPr>
                <w:rFonts w:ascii="Times New Roman"/>
                <w:b w:val="false"/>
                <w:i w:val="false"/>
                <w:color w:val="000000"/>
                <w:sz w:val="20"/>
              </w:rPr>
              <w:t>оценки соответствия</w:t>
            </w:r>
          </w:p>
        </w:tc>
      </w:tr>
    </w:tbl>
    <w:bookmarkStart w:name="z2815" w:id="345"/>
    <w:p>
      <w:pPr>
        <w:spacing w:after="0"/>
        <w:ind w:left="0"/>
        <w:jc w:val="left"/>
      </w:pPr>
      <w:r>
        <w:rPr>
          <w:rFonts w:ascii="Times New Roman"/>
          <w:b/>
          <w:i w:val="false"/>
          <w:color w:val="000000"/>
        </w:rPr>
        <w:t xml:space="preserve"> Субъективные критерии по результатам анализа официальных интернет-ресурсов государственных органов, средств массовой информации</w:t>
      </w:r>
    </w:p>
    <w:bookmarkEnd w:id="3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соблюдением законодательства Республики Казахстан об аккредитации в области оценки соответствия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официальных сообщений в средствах массовой информации о нарушениях законодательства Республики Казахстан об аккредитации в области оценки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7</w:t>
            </w:r>
            <w:r>
              <w:br/>
            </w:r>
            <w:r>
              <w:rPr>
                <w:rFonts w:ascii="Times New Roman"/>
                <w:b w:val="false"/>
                <w:i w:val="false"/>
                <w:color w:val="000000"/>
                <w:sz w:val="20"/>
              </w:rPr>
              <w:t>к критериям оценки степени риска</w:t>
            </w:r>
            <w:r>
              <w:br/>
            </w:r>
            <w:r>
              <w:rPr>
                <w:rFonts w:ascii="Times New Roman"/>
                <w:b w:val="false"/>
                <w:i w:val="false"/>
                <w:color w:val="000000"/>
                <w:sz w:val="20"/>
              </w:rPr>
              <w:t>за соблюдением законодательства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об аккредитации в области</w:t>
            </w:r>
            <w:r>
              <w:br/>
            </w:r>
            <w:r>
              <w:rPr>
                <w:rFonts w:ascii="Times New Roman"/>
                <w:b w:val="false"/>
                <w:i w:val="false"/>
                <w:color w:val="000000"/>
                <w:sz w:val="20"/>
              </w:rPr>
              <w:t>оценки соответствия</w:t>
            </w:r>
          </w:p>
        </w:tc>
      </w:tr>
    </w:tbl>
    <w:bookmarkStart w:name="z2817" w:id="346"/>
    <w:p>
      <w:pPr>
        <w:spacing w:after="0"/>
        <w:ind w:left="0"/>
        <w:jc w:val="left"/>
      </w:pPr>
      <w:r>
        <w:rPr>
          <w:rFonts w:ascii="Times New Roman"/>
          <w:b/>
          <w:i w:val="false"/>
          <w:color w:val="000000"/>
        </w:rPr>
        <w:t xml:space="preserve"> Субъективные критерии по результатам анализа сведений, представляемых государственными органами и организациями</w:t>
      </w:r>
    </w:p>
    <w:bookmarkEnd w:id="3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Критерии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Степень нарушения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 соблюдением законодательства Республики Казахстан об аккредитации в области оценки соответствия (степень тяжести устанавливается при несоблюдении нижеперечисленных требований)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подтвержденных сведений о нарушениях законодательства Республики Казахстан об аккредитации в области оценки соответствия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грубое</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23</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140-НҚ</w:t>
            </w:r>
          </w:p>
        </w:tc>
      </w:tr>
    </w:tbl>
    <w:bookmarkStart w:name="z2820" w:id="347"/>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об аккредитации в области оценки соответствия в отношении органа по аккредитации</w:t>
      </w:r>
    </w:p>
    <w:bookmarkEnd w:id="347"/>
    <w:p>
      <w:pPr>
        <w:spacing w:after="0"/>
        <w:ind w:left="0"/>
        <w:jc w:val="both"/>
      </w:pPr>
      <w:bookmarkStart w:name="z2821" w:id="348"/>
      <w:r>
        <w:rPr>
          <w:rFonts w:ascii="Times New Roman"/>
          <w:b w:val="false"/>
          <w:i w:val="false"/>
          <w:color w:val="000000"/>
          <w:sz w:val="28"/>
        </w:rPr>
        <w:t>
      Государственный орган, назначивший проверку/</w:t>
      </w:r>
    </w:p>
    <w:bookmarkEnd w:id="348"/>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места нахождения 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основных этапов аккредитации:</w:t>
            </w:r>
          </w:p>
          <w:p>
            <w:pPr>
              <w:spacing w:after="20"/>
              <w:ind w:left="20"/>
              <w:jc w:val="both"/>
            </w:pPr>
            <w:r>
              <w:rPr>
                <w:rFonts w:ascii="Times New Roman"/>
                <w:b w:val="false"/>
                <w:i w:val="false"/>
                <w:color w:val="000000"/>
                <w:sz w:val="20"/>
              </w:rPr>
              <w:t xml:space="preserve">
1) наличие заявки и представленных документов; </w:t>
            </w:r>
          </w:p>
          <w:p>
            <w:pPr>
              <w:spacing w:after="20"/>
              <w:ind w:left="20"/>
              <w:jc w:val="both"/>
            </w:pPr>
            <w:r>
              <w:rPr>
                <w:rFonts w:ascii="Times New Roman"/>
                <w:b w:val="false"/>
                <w:i w:val="false"/>
                <w:color w:val="000000"/>
                <w:sz w:val="20"/>
              </w:rPr>
              <w:t xml:space="preserve">
2) наличие предаккредитационного договора; </w:t>
            </w:r>
          </w:p>
          <w:p>
            <w:pPr>
              <w:spacing w:after="20"/>
              <w:ind w:left="20"/>
              <w:jc w:val="both"/>
            </w:pPr>
            <w:r>
              <w:rPr>
                <w:rFonts w:ascii="Times New Roman"/>
                <w:b w:val="false"/>
                <w:i w:val="false"/>
                <w:color w:val="000000"/>
                <w:sz w:val="20"/>
              </w:rPr>
              <w:t xml:space="preserve">
3) экспертиза представленных документов; </w:t>
            </w:r>
          </w:p>
          <w:p>
            <w:pPr>
              <w:spacing w:after="20"/>
              <w:ind w:left="20"/>
              <w:jc w:val="both"/>
            </w:pPr>
            <w:r>
              <w:rPr>
                <w:rFonts w:ascii="Times New Roman"/>
                <w:b w:val="false"/>
                <w:i w:val="false"/>
                <w:color w:val="000000"/>
                <w:sz w:val="20"/>
              </w:rPr>
              <w:t xml:space="preserve">
4) наличие подтверждающих документов об обследовании заявителя по месту нахождения; </w:t>
            </w:r>
          </w:p>
          <w:p>
            <w:pPr>
              <w:spacing w:after="20"/>
              <w:ind w:left="20"/>
              <w:jc w:val="both"/>
            </w:pPr>
            <w:r>
              <w:rPr>
                <w:rFonts w:ascii="Times New Roman"/>
                <w:b w:val="false"/>
                <w:i w:val="false"/>
                <w:color w:val="000000"/>
                <w:sz w:val="20"/>
              </w:rPr>
              <w:t>
5) наличие решения об аккредитации либо об отказе в аккредитации;</w:t>
            </w:r>
          </w:p>
          <w:p>
            <w:pPr>
              <w:spacing w:after="20"/>
              <w:ind w:left="20"/>
              <w:jc w:val="both"/>
            </w:pPr>
            <w:r>
              <w:rPr>
                <w:rFonts w:ascii="Times New Roman"/>
                <w:b w:val="false"/>
                <w:i w:val="false"/>
                <w:color w:val="000000"/>
                <w:sz w:val="20"/>
              </w:rPr>
              <w:t xml:space="preserve">
6) утверждение области аккредитации и выдача аттестата аккредитации либо прекращение предаккредитационного договора. </w:t>
            </w:r>
          </w:p>
          <w:p>
            <w:pPr>
              <w:spacing w:after="20"/>
              <w:ind w:left="20"/>
              <w:jc w:val="both"/>
            </w:pPr>
            <w:r>
              <w:rPr>
                <w:rFonts w:ascii="Times New Roman"/>
                <w:b w:val="false"/>
                <w:i w:val="false"/>
                <w:color w:val="000000"/>
                <w:sz w:val="20"/>
              </w:rPr>
              <w:t>
Соблюдение основных этапов аккредитации при повторной аккредитации проводится с соблюдением всех указанных этапов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указывание в аттестате аккредитации наименования организационно-правовой формы, места нахождения субъекта аккредитации; нормативного документа, на соответствие которому аккредитован субъект аккредитации; регистрационного номера аттестата аккредитации; даты регистрации аттестата аккредитации в реестре субъектов аккредитации; срока действия аттестата аккредитации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объектов оценки соответствия, входящих в область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фамилии, имени, отчества (при его наличии) руководителя субъекта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и основания переоформления аттестата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основания актуализации материалов аккредитации и информации об актуализированных материалах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проведения и результатов плановых и внеплановых оценок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и основания отзыва и возобновления действия отозванного аттестата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и основания прекращения действия аттестата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аннулирования аттестата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отметки о выдаче дубликата аттестата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реестре даты и основания приостановления и лишения аттестата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формирование и ведение реестра субъектов аккредитации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и поддержание интернет-ресурса (официальное опубликование на нем реестра субъектов аккредитации и размещение нормативных правовых актов по аккредитации в области оценки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уведомления направленного в уполномоченный орган в области технического регулирования и обеспечения единства измерений об отзыве аттестата аккредитации и прекращения постаккредитационного договора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и сроков при рассмотрении заявки о переоформлении аттестата аккредитации, актуализации материалов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жалоб и апелляции и принятие по ним решения, размещение на интернет-ресурсе информации о принятых решениях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представление заявителем в орган по аккредитации следующих документов:</w:t>
            </w:r>
          </w:p>
          <w:p>
            <w:pPr>
              <w:spacing w:after="20"/>
              <w:ind w:left="20"/>
              <w:jc w:val="both"/>
            </w:pPr>
            <w:r>
              <w:rPr>
                <w:rFonts w:ascii="Times New Roman"/>
                <w:b w:val="false"/>
                <w:i w:val="false"/>
                <w:color w:val="000000"/>
                <w:sz w:val="20"/>
              </w:rPr>
              <w:t xml:space="preserve">
1) заявку на аккредитацию; </w:t>
            </w:r>
          </w:p>
          <w:p>
            <w:pPr>
              <w:spacing w:after="20"/>
              <w:ind w:left="20"/>
              <w:jc w:val="both"/>
            </w:pPr>
            <w:r>
              <w:rPr>
                <w:rFonts w:ascii="Times New Roman"/>
                <w:b w:val="false"/>
                <w:i w:val="false"/>
                <w:color w:val="000000"/>
                <w:sz w:val="20"/>
              </w:rPr>
              <w:t xml:space="preserve">
2) нотариально засвидетельствованные копии документов, устанавливающие юридический статус заявителя; </w:t>
            </w:r>
          </w:p>
          <w:p>
            <w:pPr>
              <w:spacing w:after="20"/>
              <w:ind w:left="20"/>
              <w:jc w:val="both"/>
            </w:pPr>
            <w:r>
              <w:rPr>
                <w:rFonts w:ascii="Times New Roman"/>
                <w:b w:val="false"/>
                <w:i w:val="false"/>
                <w:color w:val="000000"/>
                <w:sz w:val="20"/>
              </w:rPr>
              <w:t>
3) заявляемую область аккредитации;</w:t>
            </w:r>
          </w:p>
          <w:p>
            <w:pPr>
              <w:spacing w:after="20"/>
              <w:ind w:left="20"/>
              <w:jc w:val="both"/>
            </w:pPr>
            <w:r>
              <w:rPr>
                <w:rFonts w:ascii="Times New Roman"/>
                <w:b w:val="false"/>
                <w:i w:val="false"/>
                <w:color w:val="000000"/>
                <w:sz w:val="20"/>
              </w:rPr>
              <w:t>
4) руководство по качеству;</w:t>
            </w:r>
          </w:p>
          <w:p>
            <w:pPr>
              <w:spacing w:after="20"/>
              <w:ind w:left="20"/>
              <w:jc w:val="both"/>
            </w:pPr>
            <w:r>
              <w:rPr>
                <w:rFonts w:ascii="Times New Roman"/>
                <w:b w:val="false"/>
                <w:i w:val="false"/>
                <w:color w:val="000000"/>
                <w:sz w:val="20"/>
              </w:rPr>
              <w:t>
5) паспорт по заявленному направлению деятельности в области оценки соответствия;</w:t>
            </w:r>
          </w:p>
          <w:p>
            <w:pPr>
              <w:spacing w:after="20"/>
              <w:ind w:left="20"/>
              <w:jc w:val="both"/>
            </w:pPr>
            <w:r>
              <w:rPr>
                <w:rFonts w:ascii="Times New Roman"/>
                <w:b w:val="false"/>
                <w:i w:val="false"/>
                <w:color w:val="000000"/>
                <w:sz w:val="20"/>
              </w:rPr>
              <w:t>
6) сведения о персонале, выполняющем работы по оценке соответствия, для органов по подтверждению соответствия;</w:t>
            </w:r>
          </w:p>
          <w:p>
            <w:pPr>
              <w:spacing w:after="20"/>
              <w:ind w:left="20"/>
              <w:jc w:val="both"/>
            </w:pPr>
            <w:r>
              <w:rPr>
                <w:rFonts w:ascii="Times New Roman"/>
                <w:b w:val="false"/>
                <w:i w:val="false"/>
                <w:color w:val="000000"/>
                <w:sz w:val="20"/>
              </w:rPr>
              <w:t>
7) положение о структурных подразделениях и их структуру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заявки субъекта аккредитации с обоснованием причин актуализации и двух экземпляров документов, в которые были внесены изменения при актуализации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переоформление аттестата аккредитации в случае:</w:t>
            </w:r>
          </w:p>
          <w:p>
            <w:pPr>
              <w:spacing w:after="20"/>
              <w:ind w:left="20"/>
              <w:jc w:val="both"/>
            </w:pPr>
            <w:r>
              <w:rPr>
                <w:rFonts w:ascii="Times New Roman"/>
                <w:b w:val="false"/>
                <w:i w:val="false"/>
                <w:color w:val="000000"/>
                <w:sz w:val="20"/>
              </w:rPr>
              <w:t xml:space="preserve">
1) реорганизация субъекта аккредитации; </w:t>
            </w:r>
          </w:p>
          <w:p>
            <w:pPr>
              <w:spacing w:after="20"/>
              <w:ind w:left="20"/>
              <w:jc w:val="both"/>
            </w:pPr>
            <w:r>
              <w:rPr>
                <w:rFonts w:ascii="Times New Roman"/>
                <w:b w:val="false"/>
                <w:i w:val="false"/>
                <w:color w:val="000000"/>
                <w:sz w:val="20"/>
              </w:rPr>
              <w:t xml:space="preserve">
2) изменение места нахождения субъекта аккредитации; </w:t>
            </w:r>
          </w:p>
          <w:p>
            <w:pPr>
              <w:spacing w:after="20"/>
              <w:ind w:left="20"/>
              <w:jc w:val="both"/>
            </w:pPr>
            <w:r>
              <w:rPr>
                <w:rFonts w:ascii="Times New Roman"/>
                <w:b w:val="false"/>
                <w:i w:val="false"/>
                <w:color w:val="000000"/>
                <w:sz w:val="20"/>
              </w:rPr>
              <w:t xml:space="preserve">
3) изменение наименования субъекта аккредитации; </w:t>
            </w:r>
          </w:p>
          <w:p>
            <w:pPr>
              <w:spacing w:after="20"/>
              <w:ind w:left="20"/>
              <w:jc w:val="both"/>
            </w:pPr>
            <w:r>
              <w:rPr>
                <w:rFonts w:ascii="Times New Roman"/>
                <w:b w:val="false"/>
                <w:i w:val="false"/>
                <w:color w:val="000000"/>
                <w:sz w:val="20"/>
              </w:rPr>
              <w:t>
4) заявление субъекта аккредитации о расширении или сокращении области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внесение изменений и (или) дополнений в нормативный документ, указанный в документах субъекта аккредитации, и (или) введения в действие нового нормативного документа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материалов аккредитации при изменении состава специалистов, осуществляющих работы по оценке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актуализация материалов аккредитации при замене средств измерений и испытательного оборудования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рассмотрение документов органом по аккредитации в срок не более десяти рабочих дней с момента их поступления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положительного решения органа аккредитации в случае переоформления аттестата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решение об отказе органом по аккредитации в актуализации материалов аккредитации, в случае выявлении в представленных документах и сведениях недостоверной информации и (или) информации, касающейся расширения области аккредитации, а так же срока уведомления субъекта аккредитации о принятии такого решения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наличие уведомления направленное субъекту аккредитации о принятом решении по актуализации материалов аккредитации </w:t>
            </w:r>
          </w:p>
          <w:p>
            <w:pPr>
              <w:spacing w:after="20"/>
              <w:ind w:left="20"/>
              <w:jc w:val="both"/>
            </w:pPr>
            <w:r>
              <w:rPr>
                <w:rFonts w:ascii="Times New Roman"/>
                <w:b w:val="false"/>
                <w:i w:val="false"/>
                <w:color w:val="000000"/>
                <w:sz w:val="20"/>
              </w:rPr>
              <w:t>
в письменном виде в течение трех рабочих дней с даты принятия решения по почте или посредством факсимильной связи и считается полученным соответственно с даты отметки заявителя в уведомлении о получении почтового отправления или в день отправления факсимильного сообщения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письменного заявления субъекта аккредитации в орган по аккредитации в случае отзыва аттестата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органом по аккредитации при выявлении несоответствий критериям аккредитации, влияющих на достоверность результатов оценки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при не устранении выявленных несоответствий критериям аккредитации в установленный органом по аккредитации срок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органом по аккредитации в случае подтверждения фактов, указанных в жалобе либо сообщении государственного органа, о допущении субъектом аккредитации нарушений критериев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при не устранении выявленных отрицательных результатов сравнительных испытаний и (или) сличений результатов поверки средств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по результатам мониторинга деятельности субъектов аккредитации при обнаружении нарушений критериев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отзыв аттестата аккредитации при непредставлении или представлении недостоверных данных в течение десяти календарных дней от даты выдачи документа об оценке (подтверждении) соответствия сведений по электронному учету результатов работ по оценке (подтверждению) соответствия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в части деятельности структурного подразделения субъекта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при принятии решения о временном признании недействительной части области аккредитации, субъекта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в уполномоченный орган в области технического регулирования и обеспечения единства измерений собранных материалов органом по аккредитации для принятия соответствующих мер в случае, если в выявленных несоответствиях критериям аккредитации имеются признаки состава административного правонарушения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направление решения об отзыве аттестата аккредитации субъекту аккредитации, по почте заказным письмом с уведомлением в течение трех рабочих дней с даты принятия решения и считается полученным с даты отметки заявителя в уведомлении почтовой или иной организации связи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отзыв аттестата аккредитации от даты получения субъектом аккредитации копии решения об отзыве аттестата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отзыв аттестата аккредитации с даты получения субъектом аккредитации копии решения об отзыве аттестата аккредитации и возобновления с даты принятия органом по аккредитации решения о возобновлении аттестата аккредитации, но не ранее чем через два месяца с даты принятия решения об отзыве аттестата аккредитации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органом по аккредитации внеплановой оценки в случае необходимости подтверждения сведений об устранении выявленных несоответствий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решения о возобновлении либо об отказе в возобновлении аттестата аккредитации или части области аккредитации органом по аккредитации в течение десяти рабочих дней, исчисляемых со дня представления субъектом аккредитации сведений об устранении несоответствий, а в случаях проведения плановой и внеплановой оценок - со дня ее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возобновление аттестата аккредитации не ранее чем через два месяца с даты принятия решения об отзыве, в случае если орган по аккредитации письменно не уведомил субъект аккредитации о своем решении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действия аттестата аккредитации по следующим основаниям:</w:t>
            </w:r>
          </w:p>
          <w:p>
            <w:pPr>
              <w:spacing w:after="20"/>
              <w:ind w:left="20"/>
              <w:jc w:val="both"/>
            </w:pPr>
            <w:r>
              <w:rPr>
                <w:rFonts w:ascii="Times New Roman"/>
                <w:b w:val="false"/>
                <w:i w:val="false"/>
                <w:color w:val="000000"/>
                <w:sz w:val="20"/>
              </w:rPr>
              <w:t>
1) письменного заявления субъекта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аннулирование аттестата аккредитации по заявлению органа по аккредитации в случае, выявления предоставления заявителем или субъектом аккредитации ложной информации при получении аккредитации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создание руководителем органа по аккредитации постоянно действующей комиссии по рассмотрению материалов аккредитации для рассмотрения материалов аккредитации и принятия решений по ним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деятельности субъектов аккредитации путем наблюдения органом по аккредитации за результатами оказанных субъектами аккредитации работ, услуг и процессов в области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ежеквартальных результатов плановых и внеплановых оценок, а также мониторинга деятельности субъекта аккредитации в уполномоченный орган в области технического регулирования и обеспечения единства измерений</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внедрении и применении документов специализированных международных организаций, устанавливающих общие критерии и правила в области аккредитации и оценки соответствия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мониторинга соответствия надлежавшей лабораторной</w:t>
            </w:r>
          </w:p>
          <w:p>
            <w:pPr>
              <w:spacing w:after="20"/>
              <w:ind w:left="20"/>
              <w:jc w:val="both"/>
            </w:pPr>
            <w:r>
              <w:rPr>
                <w:rFonts w:ascii="Times New Roman"/>
                <w:b w:val="false"/>
                <w:i w:val="false"/>
                <w:color w:val="000000"/>
                <w:sz w:val="20"/>
              </w:rPr>
              <w:t xml:space="preserve">
практики, с целью проведения проверки процедур и нормативов, применяемых лабораториями, включенными в программу мониторинга соответствия принципам надлежащей лабораторной практики, для оценки степени соответствия лабораторий принципам надлежащей лабораторной практики и сравнения первичных данных и записей с данными и записями, содержащимися в промежуточных и заключительных отчетах лабораторий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мониторинга деятельности субъектов аккредитации на предмет:</w:t>
            </w:r>
          </w:p>
          <w:p>
            <w:pPr>
              <w:spacing w:after="20"/>
              <w:ind w:left="20"/>
              <w:jc w:val="both"/>
            </w:pPr>
            <w:r>
              <w:rPr>
                <w:rFonts w:ascii="Times New Roman"/>
                <w:b w:val="false"/>
                <w:i w:val="false"/>
                <w:color w:val="000000"/>
                <w:sz w:val="20"/>
              </w:rPr>
              <w:t>
1) наличие документов подтверждающих статус юридического лица либо структурного подразделения юридического лица, действующего от его имени;</w:t>
            </w:r>
          </w:p>
          <w:p>
            <w:pPr>
              <w:spacing w:after="20"/>
              <w:ind w:left="20"/>
              <w:jc w:val="both"/>
            </w:pPr>
            <w:r>
              <w:rPr>
                <w:rFonts w:ascii="Times New Roman"/>
                <w:b w:val="false"/>
                <w:i w:val="false"/>
                <w:color w:val="000000"/>
                <w:sz w:val="20"/>
              </w:rPr>
              <w:t>
2) наличие документов подтверждающих квалификацию персонала, позволяющий выполнять работы по оценке соответствия в заявленной области аккредитации;</w:t>
            </w:r>
          </w:p>
          <w:p>
            <w:pPr>
              <w:spacing w:after="20"/>
              <w:ind w:left="20"/>
              <w:jc w:val="both"/>
            </w:pPr>
            <w:r>
              <w:rPr>
                <w:rFonts w:ascii="Times New Roman"/>
                <w:b w:val="false"/>
                <w:i w:val="false"/>
                <w:color w:val="000000"/>
                <w:sz w:val="20"/>
              </w:rPr>
              <w:t>
3) наличие права собственности, хозяйственного ведения, оперативного управления или во временном владении и пользовании помещения, оборудование и материальные ресурсы, необходимые для выполнения работ по оценке соответствия;</w:t>
            </w:r>
          </w:p>
          <w:p>
            <w:pPr>
              <w:spacing w:after="20"/>
              <w:ind w:left="20"/>
              <w:jc w:val="both"/>
            </w:pPr>
            <w:r>
              <w:rPr>
                <w:rFonts w:ascii="Times New Roman"/>
                <w:b w:val="false"/>
                <w:i w:val="false"/>
                <w:color w:val="000000"/>
                <w:sz w:val="20"/>
              </w:rPr>
              <w:t>
4) соответствие требованиям нормативных документов, на соответствие которым они аккредитуются (аккредитованы) с учетом схемы аккредитации;</w:t>
            </w:r>
          </w:p>
          <w:p>
            <w:pPr>
              <w:spacing w:after="20"/>
              <w:ind w:left="20"/>
              <w:jc w:val="both"/>
            </w:pPr>
            <w:r>
              <w:rPr>
                <w:rFonts w:ascii="Times New Roman"/>
                <w:b w:val="false"/>
                <w:i w:val="false"/>
                <w:color w:val="000000"/>
                <w:sz w:val="20"/>
              </w:rPr>
              <w:t>
5) проведение работ по оценке соответствия в полном объеме и в пределах, утвержденных в области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анализа органом по аккредитации представленных документов и уведомления субъекта аккредитации о результатах анализа в течение 20 (двадцати) рабочих дней с даты представления документов</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осуществление мониторинга деятельности субъектов аккредитации с использованием реестра данных государственной системы технического регулирования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опубликование ежеквартальных отчетов о результатах мониторинга на официальном сайте органа по аккредитации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направление органом по аккредитации информации о выявленных нарушениях в уполномоченный орган в области технического регулирования и обеспечения единства измерений, в случае установления нарушения критериев аккредитации по результатам мониторинга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48" w:id="349"/>
      <w:r>
        <w:rPr>
          <w:rFonts w:ascii="Times New Roman"/>
          <w:b w:val="false"/>
          <w:i w:val="false"/>
          <w:color w:val="000000"/>
          <w:sz w:val="28"/>
        </w:rPr>
        <w:t>
      Должностное (ые) лицо (а)</w:t>
      </w:r>
    </w:p>
    <w:bookmarkEnd w:id="349"/>
    <w:p>
      <w:pPr>
        <w:spacing w:after="0"/>
        <w:ind w:left="0"/>
        <w:jc w:val="both"/>
      </w:pPr>
      <w:r>
        <w:rPr>
          <w:rFonts w:ascii="Times New Roman"/>
          <w:b w:val="false"/>
          <w:i w:val="false"/>
          <w:color w:val="000000"/>
          <w:sz w:val="28"/>
        </w:rPr>
        <w:t>_________ 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 _ 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23</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140-НҚ</w:t>
            </w:r>
          </w:p>
        </w:tc>
      </w:tr>
    </w:tbl>
    <w:bookmarkStart w:name="z2851" w:id="350"/>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об аккредитации в области оценки соответствия в отношении юридических лиц, осуществляющих метрологическую аттестацию методик выполнения измерений</w:t>
      </w:r>
    </w:p>
    <w:bookmarkEnd w:id="350"/>
    <w:p>
      <w:pPr>
        <w:spacing w:after="0"/>
        <w:ind w:left="0"/>
        <w:jc w:val="both"/>
      </w:pPr>
      <w:bookmarkStart w:name="z2852" w:id="351"/>
      <w:r>
        <w:rPr>
          <w:rFonts w:ascii="Times New Roman"/>
          <w:b w:val="false"/>
          <w:i w:val="false"/>
          <w:color w:val="000000"/>
          <w:sz w:val="28"/>
        </w:rPr>
        <w:t>
      Государственный орган, назначивший проверку/</w:t>
      </w:r>
    </w:p>
    <w:bookmarkEnd w:id="351"/>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субъектами аккредитации в пределах области аккредитации, и нормативных документов, на соответствие которым они аккредитованы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ссылки на аттестат аккредитации субъектами аккредитации в пределах области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органа по аккредитации о прекращении деятельности в утвержденной области аккредитации или предстоящей ликвидации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выявленных несоответствий критериям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субъектом аккредитации аттестат аккредитации в течение пяти рабочих дней со дня получения решения о прекращении действия аттестата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в случае прекращения, аннулирования, приостановления либо лишения аттестата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или область аккредитации, которые временно признаны недействительными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аттестата аккредитации в области оценки соответствия выданный органом по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сведений об устранении несоответствий,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3" w:id="352"/>
      <w:r>
        <w:rPr>
          <w:rFonts w:ascii="Times New Roman"/>
          <w:b w:val="false"/>
          <w:i w:val="false"/>
          <w:color w:val="000000"/>
          <w:sz w:val="28"/>
        </w:rPr>
        <w:t>
      Должностное (ые) лицо (а)</w:t>
      </w:r>
    </w:p>
    <w:bookmarkEnd w:id="352"/>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 ______________________________________________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23</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140-НҚ</w:t>
            </w:r>
          </w:p>
        </w:tc>
      </w:tr>
    </w:tbl>
    <w:bookmarkStart w:name="z2856" w:id="353"/>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об аккредитации в области оценки соответствия в отношении поверочной лаборатории (центра)</w:t>
      </w:r>
    </w:p>
    <w:bookmarkEnd w:id="353"/>
    <w:p>
      <w:pPr>
        <w:spacing w:after="0"/>
        <w:ind w:left="0"/>
        <w:jc w:val="both"/>
      </w:pPr>
      <w:bookmarkStart w:name="z2857" w:id="354"/>
      <w:r>
        <w:rPr>
          <w:rFonts w:ascii="Times New Roman"/>
          <w:b w:val="false"/>
          <w:i w:val="false"/>
          <w:color w:val="000000"/>
          <w:sz w:val="28"/>
        </w:rPr>
        <w:t>
      Государственный орган, назначивший проверку/</w:t>
      </w:r>
    </w:p>
    <w:bookmarkEnd w:id="354"/>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________________________________________________________________</w:t>
      </w:r>
    </w:p>
    <w:p>
      <w:pPr>
        <w:spacing w:after="0"/>
        <w:ind w:left="0"/>
        <w:jc w:val="both"/>
      </w:pPr>
      <w:r>
        <w:rPr>
          <w:rFonts w:ascii="Times New Roman"/>
          <w:b w:val="false"/>
          <w:i w:val="false"/>
          <w:color w:val="000000"/>
          <w:sz w:val="28"/>
        </w:rPr>
        <w:t>Адрес место нахождения __________________________________________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субъектами аккредитации в пределах области аккредитации, и нормативных документов, на соответствие которым они аккредитованы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ссылки на аттестат аккредитации субъектами аккредитации в пределах области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органа по аккредитации о прекращении деятельности в утвержденной области аккредитации или предстоящей ликвидации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субъектами аккредитации выявленных несоответствий критериям аккредитации в сроки, установленные решением органа по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Участие субъектов аккредитации в сравнительных испытаниях и сличениях результатов поверки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Возвращение субъектом аккредитации аттестат аккредитации в течение пяти рабочих дней со дня получения решения о прекращении действия аттестата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в случае прекращения, аннулирования, приостановления либо лишения аттестата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или область аккредитации, которые временно признаны недействительными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прослеживаемости путем передачи размеров единиц величин от государственных эталонов единиц величин Республики Казахстан осуществленная сертификатом поверки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аттестата аккредитации в области поверки средств измерений выданный органом по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Предоставление субъектами аккредитации сведений об устранении несоответствий,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хозяйственного ведения, оперативного управления или во временном владении и пользовании помещения, оборудование и материальные ресурсы, необходимые для выполнения работ по поверке средств измерений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58" w:id="355"/>
      <w:r>
        <w:rPr>
          <w:rFonts w:ascii="Times New Roman"/>
          <w:b w:val="false"/>
          <w:i w:val="false"/>
          <w:color w:val="000000"/>
          <w:sz w:val="28"/>
        </w:rPr>
        <w:t>
      Должностное (ые) лицо (а)</w:t>
      </w:r>
    </w:p>
    <w:bookmarkEnd w:id="355"/>
    <w:p>
      <w:pPr>
        <w:spacing w:after="0"/>
        <w:ind w:left="0"/>
        <w:jc w:val="both"/>
      </w:pPr>
      <w:r>
        <w:rPr>
          <w:rFonts w:ascii="Times New Roman"/>
          <w:b w:val="false"/>
          <w:i w:val="false"/>
          <w:color w:val="000000"/>
          <w:sz w:val="28"/>
        </w:rPr>
        <w:t>___________ __________________________________________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 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30 декабря 2022 года № 142</w:t>
            </w:r>
            <w:r>
              <w:br/>
            </w:r>
            <w:r>
              <w:rPr>
                <w:rFonts w:ascii="Times New Roman"/>
                <w:b w:val="false"/>
                <w:i w:val="false"/>
                <w:color w:val="000000"/>
                <w:sz w:val="20"/>
              </w:rPr>
              <w:t>и от 30 декабря 2022 года № 518-НҚ</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совместному приказу</w:t>
            </w:r>
            <w:r>
              <w:br/>
            </w:r>
            <w:r>
              <w:rPr>
                <w:rFonts w:ascii="Times New Roman"/>
                <w:b w:val="false"/>
                <w:i w:val="false"/>
                <w:color w:val="000000"/>
                <w:sz w:val="20"/>
              </w:rPr>
              <w:t>Министра национальной экономики</w:t>
            </w:r>
            <w:r>
              <w:br/>
            </w:r>
            <w:r>
              <w:rPr>
                <w:rFonts w:ascii="Times New Roman"/>
                <w:b w:val="false"/>
                <w:i w:val="false"/>
                <w:color w:val="000000"/>
                <w:sz w:val="20"/>
              </w:rPr>
              <w:t>Республики Казахстан</w:t>
            </w:r>
            <w:r>
              <w:br/>
            </w:r>
            <w:r>
              <w:rPr>
                <w:rFonts w:ascii="Times New Roman"/>
                <w:b w:val="false"/>
                <w:i w:val="false"/>
                <w:color w:val="000000"/>
                <w:sz w:val="20"/>
              </w:rPr>
              <w:t>от 15 марта 2022 года № 23</w:t>
            </w:r>
            <w:r>
              <w:br/>
            </w:r>
            <w:r>
              <w:rPr>
                <w:rFonts w:ascii="Times New Roman"/>
                <w:b w:val="false"/>
                <w:i w:val="false"/>
                <w:color w:val="000000"/>
                <w:sz w:val="20"/>
              </w:rPr>
              <w:t>и Заместителя Премьер-Министра</w:t>
            </w:r>
            <w:r>
              <w:br/>
            </w:r>
            <w:r>
              <w:rPr>
                <w:rFonts w:ascii="Times New Roman"/>
                <w:b w:val="false"/>
                <w:i w:val="false"/>
                <w:color w:val="000000"/>
                <w:sz w:val="20"/>
              </w:rPr>
              <w:t>Республики Казахстан</w:t>
            </w:r>
            <w:r>
              <w:br/>
            </w:r>
            <w:r>
              <w:rPr>
                <w:rFonts w:ascii="Times New Roman"/>
                <w:b w:val="false"/>
                <w:i w:val="false"/>
                <w:color w:val="000000"/>
                <w:sz w:val="20"/>
              </w:rPr>
              <w:t>- Министр торговли и интеграции</w:t>
            </w:r>
            <w:r>
              <w:br/>
            </w:r>
            <w:r>
              <w:rPr>
                <w:rFonts w:ascii="Times New Roman"/>
                <w:b w:val="false"/>
                <w:i w:val="false"/>
                <w:color w:val="000000"/>
                <w:sz w:val="20"/>
              </w:rPr>
              <w:t>Республики Казахстан</w:t>
            </w:r>
            <w:r>
              <w:br/>
            </w:r>
            <w:r>
              <w:rPr>
                <w:rFonts w:ascii="Times New Roman"/>
                <w:b w:val="false"/>
                <w:i w:val="false"/>
                <w:color w:val="000000"/>
                <w:sz w:val="20"/>
              </w:rPr>
              <w:t>от 14 марта 2022 года № 140-НҚ</w:t>
            </w:r>
          </w:p>
        </w:tc>
      </w:tr>
    </w:tbl>
    <w:bookmarkStart w:name="z2861" w:id="356"/>
    <w:p>
      <w:pPr>
        <w:spacing w:after="0"/>
        <w:ind w:left="0"/>
        <w:jc w:val="left"/>
      </w:pPr>
      <w:r>
        <w:rPr>
          <w:rFonts w:ascii="Times New Roman"/>
          <w:b/>
          <w:i w:val="false"/>
          <w:color w:val="000000"/>
        </w:rPr>
        <w:t xml:space="preserve"> Проверочный лист за соблюдением законодательства Республики Казахстан об аккредитации в области оценки соответствия в отношении органа по подтверждению соответствия и испытательной лаборатории (центра)</w:t>
      </w:r>
    </w:p>
    <w:bookmarkEnd w:id="356"/>
    <w:p>
      <w:pPr>
        <w:spacing w:after="0"/>
        <w:ind w:left="0"/>
        <w:jc w:val="both"/>
      </w:pPr>
      <w:bookmarkStart w:name="z2862" w:id="357"/>
      <w:r>
        <w:rPr>
          <w:rFonts w:ascii="Times New Roman"/>
          <w:b w:val="false"/>
          <w:i w:val="false"/>
          <w:color w:val="000000"/>
          <w:sz w:val="28"/>
        </w:rPr>
        <w:t>
      Государственный орган, назначивший проверку/</w:t>
      </w:r>
    </w:p>
    <w:bookmarkEnd w:id="357"/>
    <w:p>
      <w:pPr>
        <w:spacing w:after="0"/>
        <w:ind w:left="0"/>
        <w:jc w:val="both"/>
      </w:pPr>
      <w:r>
        <w:rPr>
          <w:rFonts w:ascii="Times New Roman"/>
          <w:b w:val="false"/>
          <w:i w:val="false"/>
          <w:color w:val="000000"/>
          <w:sz w:val="28"/>
        </w:rPr>
        <w:t>профилактического контроля с посещением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Акт о назначении проверки/профилактического контроля с посещением</w:t>
      </w:r>
    </w:p>
    <w:p>
      <w:pPr>
        <w:spacing w:after="0"/>
        <w:ind w:left="0"/>
        <w:jc w:val="both"/>
      </w:pPr>
      <w:r>
        <w:rPr>
          <w:rFonts w:ascii="Times New Roman"/>
          <w:b w:val="false"/>
          <w:i w:val="false"/>
          <w:color w:val="000000"/>
          <w:sz w:val="28"/>
        </w:rPr>
        <w:t>субъекта (объекта) контроля 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 дата</w:t>
      </w:r>
    </w:p>
    <w:p>
      <w:pPr>
        <w:spacing w:after="0"/>
        <w:ind w:left="0"/>
        <w:jc w:val="both"/>
      </w:pPr>
      <w:r>
        <w:rPr>
          <w:rFonts w:ascii="Times New Roman"/>
          <w:b w:val="false"/>
          <w:i w:val="false"/>
          <w:color w:val="000000"/>
          <w:sz w:val="28"/>
        </w:rPr>
        <w:t>Наименование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(Индивидуальный идентификационный номер),</w:t>
      </w:r>
    </w:p>
    <w:p>
      <w:pPr>
        <w:spacing w:after="0"/>
        <w:ind w:left="0"/>
        <w:jc w:val="both"/>
      </w:pPr>
      <w:r>
        <w:rPr>
          <w:rFonts w:ascii="Times New Roman"/>
          <w:b w:val="false"/>
          <w:i w:val="false"/>
          <w:color w:val="000000"/>
          <w:sz w:val="28"/>
        </w:rPr>
        <w:t>бизнес-идентификационный номер субъекта (объекта) контроля</w:t>
      </w:r>
    </w:p>
    <w:p>
      <w:pPr>
        <w:spacing w:after="0"/>
        <w:ind w:left="0"/>
        <w:jc w:val="both"/>
      </w:pPr>
      <w:r>
        <w:rPr>
          <w:rFonts w:ascii="Times New Roman"/>
          <w:b w:val="false"/>
          <w:i w:val="false"/>
          <w:color w:val="000000"/>
          <w:sz w:val="28"/>
        </w:rPr>
        <w:t>_______________________________________________________________</w:t>
      </w:r>
    </w:p>
    <w:p>
      <w:pPr>
        <w:spacing w:after="0"/>
        <w:ind w:left="0"/>
        <w:jc w:val="both"/>
      </w:pPr>
      <w:r>
        <w:rPr>
          <w:rFonts w:ascii="Times New Roman"/>
          <w:b w:val="false"/>
          <w:i w:val="false"/>
          <w:color w:val="000000"/>
          <w:sz w:val="28"/>
        </w:rPr>
        <w:t>Адрес место нахождения_________________________________________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требований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Соответствует требованиям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соответствует требованиям</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работ субъектами аккредитации в пределах области аккредитации, на соответствие которым они аккредитованы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ссылки на аттестат аккредитации субъектами аккредитации в пределах области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Уведомление органа по аккредитации о прекращении деятельности в утвержденной области аккредитации или предстоящей ликвидации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Устранение субъектами аккредитации выявленных несоответствий критериям аккредитации в сроки, установленные решением органа по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Участие субъектов аккредитации в сравнительных испытаниях и сличениях результатов поверки средств измерений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Возвращение субъектом аккредитации аттестат аккредитации в течение пяти рабочих дней со дня получения решения о прекращении действия аттестата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субъектами аккредитации ссылки на аттестат аккредитации в случае прекращения, аннулирования, приостановления либо лишения аттестата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Прекращение субъектами аккредитации ссылки на аттестат аккредитации или область аккредитации, которые временно признаны недействительными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обеспечению прослеживаемости измерений путем получения размеров единиц величин от государственных эталонов единиц величин, в случае их отсутствия - от национальных эталонов единиц величин других стран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аттестата аккредитации в области оценки соответствия выданный органом по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Принятие мер субъектами аккредитации по устранению выявленных несоответствий со дня получения решения органа по аккредитации об отзыве аттестата аккредитации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Предоставление сведений об устранении несоответствий, послуживших основанием для отзыва аттестата аккредитации представленных в письменном виде в орган по аккредитации для принятия решения о возобновлении аттестата аккредитации или части области аккредитации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конфиденциальности информации, составляющей коммерческий интерес заявителей, независимо от страны происхождения продукции,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органами по подтверждению соответствия по недопущению оказания консалтинговых услуг в области аккредитации и не допущению аффилированности с лицами, оказывающими эти услуги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праве собственности или ином законном основании и использование лаборатории, обеспечивающей испытания объектов технического регулирования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документов об оценке соответствия на продукцию, не соответствующую требованиям технических регламентов и подлежащую изъятию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Оформление и выдача результатов работ в порядке и по формам, которые определены правилами оценки соответствия лаборатории на условиях договора с органами по подтверждению соответствия или другими заявителями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лабораторией на условиях договора с органами по подтверждению соответствия или другими заявителями фото- и (или) видеофиксации испытаний, результатов исследований (испытаний) и измерений продукции, если это предусмотрено техническим регламентом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Сохранение контрольных образцов исследованной (испытанной) продукции лабораториями на условиях договора с органами по подтверждению соответствия или другими заявителями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использование находящегося на праве собственности или ином законном основании лабораторного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863" w:id="358"/>
      <w:r>
        <w:rPr>
          <w:rFonts w:ascii="Times New Roman"/>
          <w:b w:val="false"/>
          <w:i w:val="false"/>
          <w:color w:val="000000"/>
          <w:sz w:val="28"/>
        </w:rPr>
        <w:t>
      Должностное (ые) лицо (а)</w:t>
      </w:r>
    </w:p>
    <w:bookmarkEnd w:id="358"/>
    <w:p>
      <w:pPr>
        <w:spacing w:after="0"/>
        <w:ind w:left="0"/>
        <w:jc w:val="both"/>
      </w:pPr>
      <w:r>
        <w:rPr>
          <w:rFonts w:ascii="Times New Roman"/>
          <w:b w:val="false"/>
          <w:i w:val="false"/>
          <w:color w:val="000000"/>
          <w:sz w:val="28"/>
        </w:rPr>
        <w:t>__________________ 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both"/>
      </w:pPr>
      <w:r>
        <w:rPr>
          <w:rFonts w:ascii="Times New Roman"/>
          <w:b w:val="false"/>
          <w:i w:val="false"/>
          <w:color w:val="000000"/>
          <w:sz w:val="28"/>
        </w:rPr>
        <w:t>Руководитель субъекта контроля</w:t>
      </w:r>
    </w:p>
    <w:p>
      <w:pPr>
        <w:spacing w:after="0"/>
        <w:ind w:left="0"/>
        <w:jc w:val="both"/>
      </w:pPr>
      <w:r>
        <w:rPr>
          <w:rFonts w:ascii="Times New Roman"/>
          <w:b w:val="false"/>
          <w:i w:val="false"/>
          <w:color w:val="000000"/>
          <w:sz w:val="28"/>
        </w:rPr>
        <w:t>_________________ _____________________________________</w:t>
      </w:r>
    </w:p>
    <w:p>
      <w:pPr>
        <w:spacing w:after="0"/>
        <w:ind w:left="0"/>
        <w:jc w:val="both"/>
      </w:pPr>
      <w:r>
        <w:rPr>
          <w:rFonts w:ascii="Times New Roman"/>
          <w:b w:val="false"/>
          <w:i w:val="false"/>
          <w:color w:val="000000"/>
          <w:sz w:val="28"/>
        </w:rPr>
        <w:t>должность подпись фамилия, имя, отчество (при его наличии)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