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3260" w14:textId="3013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декабря 2022 года № 529. Зарегистрирован в Министерстве юстиции Республики Казахстан 30 декабря 2022 года № 31510.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исключить;</w:t>
      </w:r>
    </w:p>
    <w:bookmarkStart w:name="z8"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"5. Для назначения пособия заявитель обращается в уполномоченный орган по назначению пособий (при первичном установлении инвалидности), Государственную корпорацию, через веб-портал "электронного правительства" (для получения информации о статусе оказания государственной услуги) или абонентское устройство сотовой связи с заявлением по форме 1 и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документов и сведений, истребуемых у услугополучателя для оказания государственной услуги, перечня основных требований к оказанию государственной услуги "Назначение специального государственного пособия"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xml:space="preserve">
      "При отсутствии сведений к заявлению прилагаются документы, указанные в перечне документов и сведений, истребуемых у услугополучателя для оказания государственной услуги перечня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"9.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
    <w:bookmarkStart w:name="z16" w:id="1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предусмотренного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0"/>
    <w:bookmarkStart w:name="z17" w:id="11"/>
    <w:p>
      <w:pPr>
        <w:spacing w:after="0"/>
        <w:ind w:left="0"/>
        <w:jc w:val="both"/>
      </w:pPr>
      <w:r>
        <w:rPr>
          <w:rFonts w:ascii="Times New Roman"/>
          <w:b w:val="false"/>
          <w:i w:val="false"/>
          <w:color w:val="000000"/>
          <w:sz w:val="28"/>
        </w:rPr>
        <w:t>
      Электронные копии документов удостоверяются ЭЦП специалиста отделения Государственной корпорации, после чего заявление и документы, представленные заявителем в подлинниках, возвращаются заявителю.</w:t>
      </w:r>
    </w:p>
    <w:bookmarkEnd w:id="11"/>
    <w:bookmarkStart w:name="z18" w:id="12"/>
    <w:p>
      <w:pPr>
        <w:spacing w:after="0"/>
        <w:ind w:left="0"/>
        <w:jc w:val="both"/>
      </w:pPr>
      <w:r>
        <w:rPr>
          <w:rFonts w:ascii="Times New Roman"/>
          <w:b w:val="false"/>
          <w:i w:val="false"/>
          <w:color w:val="000000"/>
          <w:sz w:val="28"/>
        </w:rPr>
        <w:t xml:space="preserve">
      9-1. Уполномоченный орган по назначению пособия отказывает в назначении пособия по основаниям,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
    <w:bookmarkStart w:name="z19" w:id="1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получения необходимых сведений, предусмотренных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xml:space="preserve">
      "удостоверяет проект решения о назначении (отказе в назначении) пособия, при полном соответствии ЭМД с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посредством электронной цифровой подписи (далее – ЭЦП);";</w:t>
      </w:r>
    </w:p>
    <w:bookmarkEnd w:id="16"/>
    <w:bookmarkStart w:name="z23" w:id="17"/>
    <w:p>
      <w:pPr>
        <w:spacing w:after="0"/>
        <w:ind w:left="0"/>
        <w:jc w:val="both"/>
      </w:pPr>
      <w:r>
        <w:rPr>
          <w:rFonts w:ascii="Times New Roman"/>
          <w:b w:val="false"/>
          <w:i w:val="false"/>
          <w:color w:val="000000"/>
          <w:sz w:val="28"/>
        </w:rPr>
        <w:t xml:space="preserve">
      часть двадцать восьмую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7"/>
    <w:bookmarkStart w:name="z24" w:id="18"/>
    <w:p>
      <w:pPr>
        <w:spacing w:after="0"/>
        <w:ind w:left="0"/>
        <w:jc w:val="both"/>
      </w:pPr>
      <w:r>
        <w:rPr>
          <w:rFonts w:ascii="Times New Roman"/>
          <w:b w:val="false"/>
          <w:i w:val="false"/>
          <w:color w:val="000000"/>
          <w:sz w:val="28"/>
        </w:rPr>
        <w:t>
      "принимает решение о назначении (отказе в назначении) пособия, при полном соответствии ЭМД с перечнем основных требований к оказанию государственной услуги, посредством ЭЦП;";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xml:space="preserve">
      "46. Услугополучатель вправе обжаловать решения, действия (бездействие) центрального государственного органа, услугодателя и (или) их должностных лиц, Государственной корпорации и (или) ее работников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9"/>
    <w:bookmarkStart w:name="z27" w:id="20"/>
    <w:p>
      <w:pPr>
        <w:spacing w:after="0"/>
        <w:ind w:left="0"/>
        <w:jc w:val="both"/>
      </w:pPr>
      <w:r>
        <w:rPr>
          <w:rFonts w:ascii="Times New Roman"/>
          <w:b w:val="false"/>
          <w:i w:val="false"/>
          <w:color w:val="000000"/>
          <w:sz w:val="28"/>
        </w:rPr>
        <w:t>
      Жалоба услугополучателя, поступившая в адрес центрального государственного органа,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20"/>
    <w:bookmarkStart w:name="z28" w:id="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
    <w:bookmarkStart w:name="z29" w:id="22"/>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вправе обратиться в суд с иском о защите нарушенных прав, свобод и законных интересов в сфере оказания государственных услуг.";</w:t>
      </w:r>
    </w:p>
    <w:bookmarkEnd w:id="22"/>
    <w:bookmarkStart w:name="z30" w:id="23"/>
    <w:p>
      <w:pPr>
        <w:spacing w:after="0"/>
        <w:ind w:left="0"/>
        <w:jc w:val="both"/>
      </w:pPr>
      <w:r>
        <w:rPr>
          <w:rFonts w:ascii="Times New Roman"/>
          <w:b w:val="false"/>
          <w:i w:val="false"/>
          <w:color w:val="000000"/>
          <w:sz w:val="28"/>
        </w:rPr>
        <w:t>
      дополнить пунктом 47 следующего содержания:</w:t>
      </w:r>
    </w:p>
    <w:bookmarkEnd w:id="23"/>
    <w:bookmarkStart w:name="z31" w:id="24"/>
    <w:p>
      <w:pPr>
        <w:spacing w:after="0"/>
        <w:ind w:left="0"/>
        <w:jc w:val="both"/>
      </w:pPr>
      <w:r>
        <w:rPr>
          <w:rFonts w:ascii="Times New Roman"/>
          <w:b w:val="false"/>
          <w:i w:val="false"/>
          <w:color w:val="000000"/>
          <w:sz w:val="28"/>
        </w:rPr>
        <w:t>
      "47. Центральный исполнительный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пособия, Государственную корпорацию и оператору информационно-коммуникационной инфраструктуры "электронного Правительства".";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назначения и выплаты специальных государственных пособий изложить в новой редакции согласно приложению к настоящему приказу.</w:t>
      </w:r>
    </w:p>
    <w:bookmarkStart w:name="z33" w:id="25"/>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5"/>
    <w:bookmarkStart w:name="z34"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5" w:id="2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27"/>
    <w:bookmarkStart w:name="z36" w:id="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8"/>
    <w:bookmarkStart w:name="z37" w:id="2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29"/>
    <w:bookmarkStart w:name="z38" w:id="3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41"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4"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7"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w:t>
            </w:r>
            <w:r>
              <w:rPr>
                <w:rFonts w:ascii="Times New Roman"/>
                <w:b w:val="false"/>
                <w:i w:val="false"/>
                <w:color w:val="000000"/>
                <w:sz w:val="20"/>
              </w:rPr>
              <w:t xml:space="preserve"> № 529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пособий</w:t>
            </w:r>
          </w:p>
        </w:tc>
      </w:tr>
    </w:tbl>
    <w:bookmarkStart w:name="z61" w:id="3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специального государственного пособия"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Наименование государственной услуги "Назначение специального государственного пособия".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19. 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20.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1) услугодателем (при первичном установлении инвалидности):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осуществляющим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веб-портала "электронного правительства"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Срок оказания государственной услуги: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 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(полностью автоматизированная)/ бумажная/ оказываемая по принципу "одного заявления"/ проактивная:</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предоставления результата оказания государственной услуги: электронная и (или) бумажная.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услогодателя,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0"/>
          <w:p>
            <w:pPr>
              <w:spacing w:after="20"/>
              <w:ind w:left="20"/>
              <w:jc w:val="both"/>
            </w:pPr>
            <w:r>
              <w:rPr>
                <w:rFonts w:ascii="Times New Roman"/>
                <w:b w:val="false"/>
                <w:i w:val="false"/>
                <w:color w:val="000000"/>
                <w:sz w:val="20"/>
              </w:rPr>
              <w:t>
График работы: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в порядке очереди, без предварительной записи и ускоренного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1"/>
          <w:p>
            <w:pPr>
              <w:spacing w:after="20"/>
              <w:ind w:left="20"/>
              <w:jc w:val="both"/>
            </w:pPr>
            <w:r>
              <w:rPr>
                <w:rFonts w:ascii="Times New Roman"/>
                <w:b w:val="false"/>
                <w:i w:val="false"/>
                <w:color w:val="000000"/>
                <w:sz w:val="20"/>
              </w:rPr>
              <w:t>
в Государственную корпорацию либо услугодателю:</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1 и 2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установление опеки (попечительства) над лицом за которым осуществляется уход – при установлении опеки (попечительства) над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об инвалидности (требуется только от лиц с инвалидностью, для назначения пособия по уходу за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городов и периодов ведения боевых действий с участием граждан Республики Казахстан согласно приложению 3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лицами с инвалидностью,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лицами с инвалидностью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лицами с инвалидностью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лицами с инвалидностью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периодов ведения боевых действий на территории других государств с участием граждан Республики Казахстан согласно приложению 4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участников боевых действий на территории других государств, а именно: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военнообязанных, призывавшихся на учебные сборы и направлявшихся в Афганистан в период ведения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автомобильных батальонов, направлявшихся в Афганистан для доставки грузов в эту страну в период ведения боевых действий;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летного состава, совершавших вылеты на боевые задания в Афганистан с территории бывшего Союза ССР; </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лиц, награжденных орденами и медалями бывшего Союза ССР согласно приложению 6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лиц с инвалидностью первой, второй и третьей групп, в том числе детей с инвалидностью с семи до восемнадцати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 с инвалидностью до семи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лица, определенного как осуществляющий уход: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за назначением пособия лицу, осуществляющему уход, лиц, имеющих статус кандаса, предоставляется удостоверение кандаса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сведения о номере банковского счета в уполномоченной организации по выдаче пособий –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дееспособности лица, определенного как осуществляющий уход, проверяются по документу, удостоверяющему личность, в информационной системе ГБДФЛ; </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отсутствии факта состояния на учете в центре психического здоровья;</w:t>
            </w:r>
          </w:p>
          <w:p>
            <w:pPr>
              <w:spacing w:after="20"/>
              <w:ind w:left="20"/>
              <w:jc w:val="both"/>
            </w:pPr>
            <w:r>
              <w:rPr>
                <w:rFonts w:ascii="Times New Roman"/>
                <w:b w:val="false"/>
                <w:i w:val="false"/>
                <w:color w:val="000000"/>
                <w:sz w:val="20"/>
              </w:rPr>
              <w:t>
3. Для получения информации на портале: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2"/>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получения информации из Государственной корпорации, подтверждающий факт назначения, выплаты или подачи заявления на пособия.</w:t>
            </w:r>
          </w:p>
          <w:p>
            <w:pPr>
              <w:spacing w:after="20"/>
              <w:ind w:left="20"/>
              <w:jc w:val="both"/>
            </w:pPr>
            <w:r>
              <w:rPr>
                <w:rFonts w:ascii="Times New Roman"/>
                <w:b w:val="false"/>
                <w:i w:val="false"/>
                <w:color w:val="000000"/>
                <w:sz w:val="20"/>
              </w:rPr>
              <w:t>
При наличии факта предоставления социальной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3"/>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получает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6.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