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f38b" w14:textId="ee9f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декабря 2022 года № 245. Зарегистрирован в Министерстве юстиции Республики Казахстан 27 декабря 2022 года № 31285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 (зарегистрирован в Реестре государственной регистрации нормативных правовых актов под № 11236)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утвержденным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военной прокуратуре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Главную военную прокуратуру.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отборочных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кандидатов, поступающих на воинскую службу по контракту в органы прокуратуры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Конституционного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(15 вопросов),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(7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(3 вопроса),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Вооруженных Силах Республики Казахстан"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 Устава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и сержантский составы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(15 вопросов),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Дисциплинарного Устава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вопросов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