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8f0a" w14:textId="69f8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20 декабря 2022 года № 371 и и.о. Министра национальной экономики Республики Казахстан от 21 декабря 2022 года № 133. Зарегистрирован в Министерстве юстиции Республики Казахстан 22 декабря 2022 года № 31208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 (зарегистрирован в Реестре государственной регистрации нормативных правовых актов под № 14313)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об игорном бизнесе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залов игровых автоматов,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букмекерских контор,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тотализаторов,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 согласно приложению 6 к настоящему совместному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указанному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об игорном бизнесе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об игорном бизнесе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и предназначены для отбора субъектов контроля с целью проведения профилактического контроля с посещением субъекта контроля.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контроля – имущество, находящееся на праве собственности или ином законном основании у субъекта контроля, подлежащее контролю;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юридические лица, осуществляющие деятельность казино, залов игровых автоматов, букмекерских контор, тотализаторов, за деятельностью которых осуществляется контроль;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Республики Казахстан об игорном бизнесе, несоблюдение которых не влечет за собой угрозу законным интересам физических и юридических лиц, государства;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 законодательства Республики Казахстан об игорном бизнесе, несоблюдение которых не влечет за собой существенной угрозы законным интересам физических и юридических лиц, государства;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 законодательства Республики Казахстан об игорном бизнесе, которые могут привести к существенным нарушениям прав, законным интересам физических и юридических лиц, государства;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игорного бизнеса и не зависящие непосредственно от отдельного субъекта (объекта) контроля;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требованиям;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(объектов) контроля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профилактического контроля с посещением субъекта (объекта) контроля и (или) проверок на соответствие квалификационным требованиям субъекты (объекты) контроля относятся к одной из следующих степеней риска (далее – степени риска):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высокой и средней степени риска, проводятся проверка на соответствие квалификационным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низкой степени риска, проводятся проверка на соответствие квалификационным требованиям, профилактический контроль без посещения субъекта (объекта) контроля и внеплановая проверка.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игорного бизнеса к высокой степени риска относятся риски вероятности причинения вреда законным интересам физических лиц и юридических лиц, имущественным интересам государства.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следующие субъекты (объекты) контроля: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казино;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залы игровых автоматов;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букмекерские конторы.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субъектам (объектам) контроля средней степени риска относятся тотализаторы.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об игорном бизнесе.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субъективных критериев субъектов контроля используются следующие источники информации: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внеплановых проверок и профилактического контроля с посещением субъектов (объектов) контроля;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предыдущих проверок на соответствие квалификационным требованиям;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официальных интернет-ресурсов государственных органов, средств массовой информации;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анализа сведений, представляемых государственными органами и организациями.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приложениями 1 и 2 к настоящим Критериям.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квалификационным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в соответствии с пунктом 7 настоящих Критериев применяется следующий порядок расчета показателя степени риска.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проверка на соответствие квалификационным требованиям или профилактический контроль с посещением субъекта (объекта) контроля.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8 настоящих Критериев.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об игорном бизнесе для организаторов игорного бизнеса, осуществляющих деятельность казино и залов игровых автоматов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казино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залов игровых автоматов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предыдущих внеплановых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предыдущих проверок на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иные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иные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сведений, поступивших от государственных органов, с фактами нарушения законодательства Республики Казахстан об игорном бизнесе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жалобы от физических и юридических лиц, права которых нарушены организаторами игорного бизнеса с приложением документов, подтверждающих факт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2 (двух) и более жалоб от физических и юридических лиц, права которых нарушены организаторами игорного бизнеса с приложением документов, подтверждающих факт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16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об игорном бизнесе для организаторов игорного бизнеса, осуществляющих деятельность букмекерских контор и тотализаторов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тотализаторов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тотализатора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Результаты предыдущих внеплановых проверок и профилактического контроля с посещением субъектов (объектов) контроля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предыдущих проверок на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иные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иные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сведений, поступивших от государственных органов, с фактами нарушения законодательства Республики Казахстан об игорном бизнесе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жалобы от физических и юридических лиц, права которых нарушены организаторами игорного бизнеса с приложением документов, подтверждающих факт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2 (двух) и более жалоб от физических и юридических лиц, права которых нарушены организаторами игорного бизнеса с приложением документов, подтверждающих факт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2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об игорном бизнесе в отношении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01"/>
    <w:p>
      <w:pPr>
        <w:spacing w:after="0"/>
        <w:ind w:left="0"/>
        <w:jc w:val="both"/>
      </w:pPr>
      <w:bookmarkStart w:name="z223" w:id="10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10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23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об игорном бизнесе в отношении</w:t>
      </w:r>
      <w:r>
        <w:br/>
      </w:r>
      <w:r>
        <w:rPr>
          <w:rFonts w:ascii="Times New Roman"/>
          <w:b/>
          <w:i w:val="false"/>
          <w:color w:val="000000"/>
        </w:rPr>
        <w:t>организаторов игорного бизнеса, осуществляющих деятельность залов игровых автоматов</w:t>
      </w:r>
      <w:r>
        <w:br/>
      </w:r>
      <w:r>
        <w:rPr>
          <w:rFonts w:ascii="Times New Roman"/>
          <w:b/>
          <w:i w:val="false"/>
          <w:color w:val="000000"/>
        </w:rPr>
        <w:t>(в соответствии со статьей 138 Предпринимательского кодекса Республики Казахстан)</w:t>
      </w:r>
    </w:p>
    <w:bookmarkEnd w:id="104"/>
    <w:p>
      <w:pPr>
        <w:spacing w:after="0"/>
        <w:ind w:left="0"/>
        <w:jc w:val="both"/>
      </w:pPr>
      <w:bookmarkStart w:name="z240" w:id="10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3" w:id="10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25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об игорном бизнесе в отношении</w:t>
      </w:r>
      <w:r>
        <w:br/>
      </w:r>
      <w:r>
        <w:rPr>
          <w:rFonts w:ascii="Times New Roman"/>
          <w:b/>
          <w:i w:val="false"/>
          <w:color w:val="000000"/>
        </w:rPr>
        <w:t>организаторов игорного бизнеса, осуществляющих деятельность букмекерских контор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07"/>
    <w:p>
      <w:pPr>
        <w:spacing w:after="0"/>
        <w:ind w:left="0"/>
        <w:jc w:val="both"/>
      </w:pPr>
      <w:bookmarkStart w:name="z257" w:id="10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идентификации клиентов;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8" w:id="10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2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об игорном бизнесе в отношении</w:t>
      </w:r>
      <w:r>
        <w:br/>
      </w:r>
      <w:r>
        <w:rPr>
          <w:rFonts w:ascii="Times New Roman"/>
          <w:b/>
          <w:i w:val="false"/>
          <w:color w:val="000000"/>
        </w:rPr>
        <w:t>организаторов игорного бизнеса, осуществляющих деятельность тотализаторов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10"/>
    <w:p>
      <w:pPr>
        <w:spacing w:after="0"/>
        <w:ind w:left="0"/>
        <w:jc w:val="both"/>
      </w:pPr>
      <w:bookmarkStart w:name="z272" w:id="11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идентификации клиентов;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3" w:id="1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28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об игорном бизнесе в отношении</w:t>
      </w:r>
      <w:r>
        <w:br/>
      </w:r>
      <w:r>
        <w:rPr>
          <w:rFonts w:ascii="Times New Roman"/>
          <w:b/>
          <w:i w:val="false"/>
          <w:color w:val="000000"/>
        </w:rPr>
        <w:t>организаторов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13"/>
    <w:p>
      <w:pPr>
        <w:spacing w:after="0"/>
        <w:ind w:left="0"/>
        <w:jc w:val="both"/>
      </w:pPr>
      <w:bookmarkStart w:name="z287" w:id="11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казино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зала игровых автоматов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букмекерских контор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тотализаторов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5" w:id="11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