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020" w14:textId="b97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декабря 2022 года № 109. Зарегистрировано в Министерстве юстиции Республики Казахстан 19 декабря 2022 года № 31147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 (далее – Нормативы):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Минимальный размер маржи платежеспособности страховой (перестраховочной) организации увеличивается на сумму страховых премий,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от страховых премий, передаваемых (переданных) в перестрахование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до 1 января 2024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маржи платежеспособности страховой (перестраховочной) организации увеличивается на сумму обязательств,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от объема обязательств, передаваемых (переданных) в перестрахование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с 1 января 2024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маржи платежеспособности страховой (перестраховочной) организации увеличивается на значение, равное 1 (одному) проценту от текущей стоимости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Страховая (перестраховочная) организация соблюдает следующие нормативы диверсификации активов: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Казахстана, составляет: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20 (двадцати) процентов от суммы активов, рассчитанных в соответствии с пунктом 34 Нормативов;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50 (пятидесяти)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15 (пятнадцати) процентов от суммы активов, рассчитанных в соответствии с пунктом 34 Нормативов;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составляет: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суммарное размещение в аффинированные драгоценные металлы и металлические счета составляет: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суммарный размер займов страхователям страховой (перестраховочной) организации, осуществляющей деятельность по отрасли "страхование жизни" составляет: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составляет: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Нормативов, составляет: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суммарная балансовая стоимость инвестиций в паи, соответствующие требованиям подпунктов 23) и 24) пункта 38 Нормативов, за вычетом резерва под обесценение составляет: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суммарная балансовая стоимость инвестиций в паи открытых и интервальных паевых инвестиционных фондов, за вычетом резерва под обесценение составляет: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5 (пяти) процентов от суммы активов, рассчитанных в соответствии с пунктом 34 Нормативов;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составляет: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составляет: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2022 года - не более 10 (десяти) процентов от суммы активов, рассчитанных в соответствии с пунктом 34 Нормативов;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страховой (перестраховочной) организации в долговые ценные бумаги не превышают 25 (двадцати пяти) процентов от общего объема облигаций одной эмиссии банка второго уровня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нормативов диверсификации активов, указанных в подпунктах 1), 2) и 3) настоящего пункта,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 и подлежит официальному опубликованию.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