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13f4d" w14:textId="5413f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совместный приказ Министра финансов Республики Казахстан от 2 апреля 2021 года № 298 и Министра национальной экономики Республики Казахстан от 21 апреля 2021 года № 45 "Об утверждении проверочных листов в области бухгалтерского учета и финансовой отчетности для организаций публичного интереса, за исключением финансовых организаций, деятельности аккредитованных профессиональных организаций бухгалтеров и аккредитованных организаций по профессиональной сертификации бухгалтеров"</w:t>
      </w:r>
    </w:p>
    <w:p>
      <w:pPr>
        <w:spacing w:after="0"/>
        <w:ind w:left="0"/>
        <w:jc w:val="both"/>
      </w:pPr>
      <w:r>
        <w:rPr>
          <w:rFonts w:ascii="Times New Roman"/>
          <w:b w:val="false"/>
          <w:i w:val="false"/>
          <w:color w:val="000000"/>
          <w:sz w:val="28"/>
        </w:rPr>
        <w:t>Совместный приказ Заместителя Премьер-Министра - Министра финансов Республики Казахстан от 15 декабря 2022 года № 1284 и Министра национальной экономики Республики Казахстан от 15 декабря 2022 года № 128. Зарегистрирован в Министерстве юстиции Республики Казахстан 19 декабря 2022 года № 31142</w:t>
      </w:r>
    </w:p>
    <w:p>
      <w:pPr>
        <w:spacing w:after="0"/>
        <w:ind w:left="0"/>
        <w:jc w:val="both"/>
      </w:pPr>
      <w:bookmarkStart w:name="z4" w:id="0"/>
      <w:r>
        <w:rPr>
          <w:rFonts w:ascii="Times New Roman"/>
          <w:b w:val="false"/>
          <w:i w:val="false"/>
          <w:color w:val="000000"/>
          <w:sz w:val="28"/>
        </w:rPr>
        <w:t xml:space="preserve">
      </w:t>
      </w:r>
      <w:r>
        <w:rPr>
          <w:rFonts w:ascii="Times New Roman"/>
          <w:b/>
          <w:i w:val="false"/>
          <w:color w:val="000000"/>
          <w:sz w:val="28"/>
        </w:rPr>
        <w:t>Примечание ИЗПИ!</w:t>
      </w:r>
    </w:p>
    <w:bookmarkEnd w:id="0"/>
    <w:p>
      <w:pPr>
        <w:spacing w:after="0"/>
        <w:ind w:left="0"/>
        <w:jc w:val="both"/>
      </w:pPr>
      <w:r>
        <w:rPr>
          <w:rFonts w:ascii="Times New Roman"/>
          <w:b/>
          <w:i w:val="false"/>
          <w:color w:val="000000"/>
          <w:sz w:val="28"/>
        </w:rPr>
        <w:t>Вводится в действие с 01.01.202</w:t>
      </w:r>
      <w:r>
        <w:rPr>
          <w:rFonts w:ascii="Times New Roman"/>
          <w:b/>
          <w:i w:val="false"/>
          <w:color w:val="000000"/>
          <w:sz w:val="28"/>
        </w:rPr>
        <w:t>3</w:t>
      </w:r>
      <w:r>
        <w:rPr>
          <w:rFonts w:ascii="Times New Roman"/>
          <w:b/>
          <w:i w:val="false"/>
          <w:color w:val="000000"/>
          <w:sz w:val="28"/>
        </w:rPr>
        <w:t>.</w:t>
      </w:r>
    </w:p>
    <w:p>
      <w:pPr>
        <w:spacing w:after="0"/>
        <w:ind w:left="0"/>
        <w:jc w:val="both"/>
      </w:pPr>
      <w:r>
        <w:rPr>
          <w:rFonts w:ascii="Times New Roman"/>
          <w:b w:val="false"/>
          <w:i w:val="false"/>
          <w:color w:val="000000"/>
          <w:sz w:val="28"/>
        </w:rPr>
        <w:t>
      ПРИКАЗЫВАЕМ:</w:t>
      </w:r>
    </w:p>
    <w:bookmarkStart w:name="z5" w:id="1"/>
    <w:p>
      <w:pPr>
        <w:spacing w:after="0"/>
        <w:ind w:left="0"/>
        <w:jc w:val="both"/>
      </w:pPr>
      <w:r>
        <w:rPr>
          <w:rFonts w:ascii="Times New Roman"/>
          <w:b w:val="false"/>
          <w:i w:val="false"/>
          <w:color w:val="000000"/>
          <w:sz w:val="28"/>
        </w:rPr>
        <w:t xml:space="preserve">
      1. Внести в совместный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2 апреля 2021 года № 298 и Министра национальной экономики Республики Казахстан от 21 апреля 2021 года № 45 "Об утверждении проверочных листов в области бухгалтерского учета и финансовой отчетности для организаций публичного интереса, за исключением финансовых организаций, деятельности аккредитованных профессиональных организаций бухгалтеров и аккредитованных организаций по профессиональной сертификации бухгалтеров" (зарегистрирован в Реестре государственной регистрации нормативных правовых актов под № 22602) следующие изменения и дополнение: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w:t>
      </w:r>
    </w:p>
    <w:bookmarkStart w:name="z7" w:id="2"/>
    <w:p>
      <w:pPr>
        <w:spacing w:after="0"/>
        <w:ind w:left="0"/>
        <w:jc w:val="both"/>
      </w:pPr>
      <w:r>
        <w:rPr>
          <w:rFonts w:ascii="Times New Roman"/>
          <w:b w:val="false"/>
          <w:i w:val="false"/>
          <w:color w:val="000000"/>
          <w:sz w:val="28"/>
        </w:rPr>
        <w:t>
      "Об утверждении критериев оценки степени риска и проверочных листов в области бухгалтерского учета и финансовой отчетности для организаций публичного интереса, за исключением финансовых организаций, деятельности аккредитованных профессиональных организаций бухгалтеров и аккредитованных организаций по профессиональной сертификации бухгалтеров";</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 </w:t>
      </w:r>
    </w:p>
    <w:bookmarkStart w:name="z9" w:id="3"/>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пунктами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статьи 141 и </w:t>
      </w:r>
      <w:r>
        <w:rPr>
          <w:rFonts w:ascii="Times New Roman"/>
          <w:b w:val="false"/>
          <w:i w:val="false"/>
          <w:color w:val="000000"/>
          <w:sz w:val="28"/>
        </w:rPr>
        <w:t>пунктом 1</w:t>
      </w:r>
      <w:r>
        <w:rPr>
          <w:rFonts w:ascii="Times New Roman"/>
          <w:b w:val="false"/>
          <w:i w:val="false"/>
          <w:color w:val="000000"/>
          <w:sz w:val="28"/>
        </w:rPr>
        <w:t xml:space="preserve"> статьи 143 Предпринимательского кодекса Республики Казахстан </w:t>
      </w:r>
      <w:r>
        <w:rPr>
          <w:rFonts w:ascii="Times New Roman"/>
          <w:b/>
          <w:i w:val="false"/>
          <w:color w:val="000000"/>
          <w:sz w:val="28"/>
        </w:rPr>
        <w:t>ПРИКАЗЫВАЕМ</w:t>
      </w:r>
      <w:r>
        <w:rPr>
          <w:rFonts w:ascii="Times New Roman"/>
          <w:b/>
          <w:i w:val="false"/>
          <w:color w:val="000000"/>
          <w:sz w:val="28"/>
        </w:rPr>
        <w:t>:</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1" w:id="4"/>
    <w:p>
      <w:pPr>
        <w:spacing w:after="0"/>
        <w:ind w:left="0"/>
        <w:jc w:val="both"/>
      </w:pPr>
      <w:r>
        <w:rPr>
          <w:rFonts w:ascii="Times New Roman"/>
          <w:b w:val="false"/>
          <w:i w:val="false"/>
          <w:color w:val="000000"/>
          <w:sz w:val="28"/>
        </w:rPr>
        <w:t xml:space="preserve">
      "1. Утвердить: </w:t>
      </w:r>
    </w:p>
    <w:bookmarkEnd w:id="4"/>
    <w:bookmarkStart w:name="z12" w:id="5"/>
    <w:p>
      <w:pPr>
        <w:spacing w:after="0"/>
        <w:ind w:left="0"/>
        <w:jc w:val="both"/>
      </w:pPr>
      <w:r>
        <w:rPr>
          <w:rFonts w:ascii="Times New Roman"/>
          <w:b w:val="false"/>
          <w:i w:val="false"/>
          <w:color w:val="000000"/>
          <w:sz w:val="28"/>
        </w:rPr>
        <w:t xml:space="preserve">
      1) критерии оценки степени риска в области бухгалтерского учета и финансовой отчетности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совместному приказу;</w:t>
      </w:r>
    </w:p>
    <w:bookmarkEnd w:id="5"/>
    <w:bookmarkStart w:name="z13" w:id="6"/>
    <w:p>
      <w:pPr>
        <w:spacing w:after="0"/>
        <w:ind w:left="0"/>
        <w:jc w:val="both"/>
      </w:pPr>
      <w:r>
        <w:rPr>
          <w:rFonts w:ascii="Times New Roman"/>
          <w:b w:val="false"/>
          <w:i w:val="false"/>
          <w:color w:val="000000"/>
          <w:sz w:val="28"/>
        </w:rPr>
        <w:t xml:space="preserve">
      2) проверочный лист в области бухгалтерского учета и финансовой отчетности в отношении организаций публичного интереса (за исключением финансовых организаций)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совместному приказу;</w:t>
      </w:r>
    </w:p>
    <w:bookmarkEnd w:id="6"/>
    <w:bookmarkStart w:name="z14" w:id="7"/>
    <w:p>
      <w:pPr>
        <w:spacing w:after="0"/>
        <w:ind w:left="0"/>
        <w:jc w:val="both"/>
      </w:pPr>
      <w:r>
        <w:rPr>
          <w:rFonts w:ascii="Times New Roman"/>
          <w:b w:val="false"/>
          <w:i w:val="false"/>
          <w:color w:val="000000"/>
          <w:sz w:val="28"/>
        </w:rPr>
        <w:t xml:space="preserve">
      3) проверочный лист в области бухгалтерского учета и финансовой отчетности в отношении аккредитованных профессиональных организаций бухгалтеров для проведения профилактического контроля с посещением субъекта (объекта) контроля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совместному приказу;</w:t>
      </w:r>
    </w:p>
    <w:bookmarkEnd w:id="7"/>
    <w:bookmarkStart w:name="z15" w:id="8"/>
    <w:p>
      <w:pPr>
        <w:spacing w:after="0"/>
        <w:ind w:left="0"/>
        <w:jc w:val="both"/>
      </w:pPr>
      <w:r>
        <w:rPr>
          <w:rFonts w:ascii="Times New Roman"/>
          <w:b w:val="false"/>
          <w:i w:val="false"/>
          <w:color w:val="000000"/>
          <w:sz w:val="28"/>
        </w:rPr>
        <w:t>
      4) проверочный лист в области бухгалтерского учета и финансовой отчетности в отношении аккредитованных профессиональных организаций бухгалтеров для проведения проверки на соответствие разрешительным требованиям согласно приложению 4 к настоящему совместному приказу;</w:t>
      </w:r>
    </w:p>
    <w:bookmarkEnd w:id="8"/>
    <w:bookmarkStart w:name="z16" w:id="9"/>
    <w:p>
      <w:pPr>
        <w:spacing w:after="0"/>
        <w:ind w:left="0"/>
        <w:jc w:val="both"/>
      </w:pPr>
      <w:r>
        <w:rPr>
          <w:rFonts w:ascii="Times New Roman"/>
          <w:b w:val="false"/>
          <w:i w:val="false"/>
          <w:color w:val="000000"/>
          <w:sz w:val="28"/>
        </w:rPr>
        <w:t>
      5) проверочный лист в области бухгалтерского учета и финансовой отчетности в отношении аккредитованных организаций по профессиональной сертификации бухгалтеров для проведения профилактического контроля с посещением субъекта (объекта) контроля согласно приложению 5 к настоящему совместному приказу;</w:t>
      </w:r>
    </w:p>
    <w:bookmarkEnd w:id="9"/>
    <w:bookmarkStart w:name="z17" w:id="10"/>
    <w:p>
      <w:pPr>
        <w:spacing w:after="0"/>
        <w:ind w:left="0"/>
        <w:jc w:val="both"/>
      </w:pPr>
      <w:r>
        <w:rPr>
          <w:rFonts w:ascii="Times New Roman"/>
          <w:b w:val="false"/>
          <w:i w:val="false"/>
          <w:color w:val="000000"/>
          <w:sz w:val="28"/>
        </w:rPr>
        <w:t>
      6) проверочный лист в области бухгалтерского учета и финансовой отчетности в отношении аккредитованных организаций по профессиональной сертификации бухгалтеров для проведения проверки на соответствие разрешительным требованиям согласно приложению 6 к настоящему совместному приказу.";</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указанному совместному приказу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настоящему совместному приказу;</w:t>
      </w:r>
    </w:p>
    <w:bookmarkStart w:name="z19" w:id="11"/>
    <w:p>
      <w:pPr>
        <w:spacing w:after="0"/>
        <w:ind w:left="0"/>
        <w:jc w:val="both"/>
      </w:pPr>
      <w:r>
        <w:rPr>
          <w:rFonts w:ascii="Times New Roman"/>
          <w:b w:val="false"/>
          <w:i w:val="false"/>
          <w:color w:val="000000"/>
          <w:sz w:val="28"/>
        </w:rPr>
        <w:t xml:space="preserve">
      дополнить приложениями 4, 5, 6 согласно </w:t>
      </w:r>
      <w:r>
        <w:rPr>
          <w:rFonts w:ascii="Times New Roman"/>
          <w:b w:val="false"/>
          <w:i w:val="false"/>
          <w:color w:val="000000"/>
          <w:sz w:val="28"/>
        </w:rPr>
        <w:t>приложениям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к настоящему совместному приказу.</w:t>
      </w:r>
    </w:p>
    <w:bookmarkEnd w:id="11"/>
    <w:bookmarkStart w:name="z20" w:id="12"/>
    <w:p>
      <w:pPr>
        <w:spacing w:after="0"/>
        <w:ind w:left="0"/>
        <w:jc w:val="both"/>
      </w:pPr>
      <w:r>
        <w:rPr>
          <w:rFonts w:ascii="Times New Roman"/>
          <w:b w:val="false"/>
          <w:i w:val="false"/>
          <w:color w:val="000000"/>
          <w:sz w:val="28"/>
        </w:rPr>
        <w:t>
      2. Департаменту методологии бухгалтерского учета, аудита и оценки Министерства финансов Республики Казахстан в установленном законодательством Республики Казахстан порядке обеспечить:</w:t>
      </w:r>
    </w:p>
    <w:bookmarkEnd w:id="12"/>
    <w:bookmarkStart w:name="z21" w:id="13"/>
    <w:p>
      <w:pPr>
        <w:spacing w:after="0"/>
        <w:ind w:left="0"/>
        <w:jc w:val="both"/>
      </w:pPr>
      <w:r>
        <w:rPr>
          <w:rFonts w:ascii="Times New Roman"/>
          <w:b w:val="false"/>
          <w:i w:val="false"/>
          <w:color w:val="000000"/>
          <w:sz w:val="28"/>
        </w:rPr>
        <w:t>
      1) государственную регистрацию настоящего совместного приказа в Министерстве юстиции Республики Казахстан;</w:t>
      </w:r>
    </w:p>
    <w:bookmarkEnd w:id="13"/>
    <w:bookmarkStart w:name="z22" w:id="14"/>
    <w:p>
      <w:pPr>
        <w:spacing w:after="0"/>
        <w:ind w:left="0"/>
        <w:jc w:val="both"/>
      </w:pPr>
      <w:r>
        <w:rPr>
          <w:rFonts w:ascii="Times New Roman"/>
          <w:b w:val="false"/>
          <w:i w:val="false"/>
          <w:color w:val="000000"/>
          <w:sz w:val="28"/>
        </w:rPr>
        <w:t>
      2) размещение настоящего совместного приказа на интернет-ресурсе Министерства финансов Республики Казахстан;</w:t>
      </w:r>
    </w:p>
    <w:bookmarkEnd w:id="14"/>
    <w:bookmarkStart w:name="z23" w:id="1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совместного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 предусмотренных подпунктами 1) и 2) настоящего пункта.</w:t>
      </w:r>
    </w:p>
    <w:bookmarkEnd w:id="15"/>
    <w:bookmarkStart w:name="z24" w:id="16"/>
    <w:p>
      <w:pPr>
        <w:spacing w:after="0"/>
        <w:ind w:left="0"/>
        <w:jc w:val="both"/>
      </w:pPr>
      <w:r>
        <w:rPr>
          <w:rFonts w:ascii="Times New Roman"/>
          <w:b w:val="false"/>
          <w:i w:val="false"/>
          <w:color w:val="000000"/>
          <w:sz w:val="28"/>
        </w:rPr>
        <w:t>
      3. Контроль за исполнением настоящего совместного приказа возложить на курирующего вице-министра финансов Республики Казахстан.</w:t>
      </w:r>
    </w:p>
    <w:bookmarkEnd w:id="16"/>
    <w:bookmarkStart w:name="z25" w:id="17"/>
    <w:p>
      <w:pPr>
        <w:spacing w:after="0"/>
        <w:ind w:left="0"/>
        <w:jc w:val="both"/>
      </w:pPr>
      <w:r>
        <w:rPr>
          <w:rFonts w:ascii="Times New Roman"/>
          <w:b w:val="false"/>
          <w:i w:val="false"/>
          <w:color w:val="000000"/>
          <w:sz w:val="28"/>
        </w:rPr>
        <w:t>
      4. Настоящий совместный приказ вводится в действие с 1 января 2023 года и подлежит официальному опубликованию.</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национальной экономики</w:t>
            </w:r>
          </w:p>
          <w:p>
            <w:pPr>
              <w:spacing w:after="20"/>
              <w:ind w:left="20"/>
              <w:jc w:val="both"/>
            </w:pPr>
            <w:r>
              <w:rPr>
                <w:rFonts w:ascii="Times New Roman"/>
                <w:b w:val="false"/>
                <w:i w:val="false"/>
                <w:color w:val="000000"/>
                <w:sz w:val="20"/>
              </w:rPr>
              <w:t>Республики Казахстан __________А. Куантыров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Заместитель Премьер-Министра - </w:t>
            </w:r>
          </w:p>
          <w:p>
            <w:pPr>
              <w:spacing w:after="20"/>
              <w:ind w:left="20"/>
              <w:jc w:val="both"/>
            </w:pPr>
            <w:r>
              <w:rPr>
                <w:rFonts w:ascii="Times New Roman"/>
                <w:b w:val="false"/>
                <w:i w:val="false"/>
                <w:color w:val="000000"/>
                <w:sz w:val="20"/>
              </w:rPr>
              <w:t>Министр финансов</w:t>
            </w:r>
          </w:p>
          <w:p>
            <w:pPr>
              <w:spacing w:after="20"/>
              <w:ind w:left="20"/>
              <w:jc w:val="both"/>
            </w:pPr>
            <w:r>
              <w:rPr>
                <w:rFonts w:ascii="Times New Roman"/>
                <w:b w:val="false"/>
                <w:i w:val="false"/>
                <w:color w:val="000000"/>
                <w:sz w:val="20"/>
              </w:rPr>
              <w:t>Республики Казахстан __________Е. Жамаубаев</w:t>
            </w:r>
          </w:p>
        </w:tc>
      </w:tr>
    </w:tbl>
    <w:p>
      <w:pPr>
        <w:spacing w:after="0"/>
        <w:ind w:left="0"/>
        <w:jc w:val="both"/>
      </w:pPr>
      <w:bookmarkStart w:name="z26" w:id="18"/>
      <w:r>
        <w:rPr>
          <w:rFonts w:ascii="Times New Roman"/>
          <w:b w:val="false"/>
          <w:i w:val="false"/>
          <w:color w:val="000000"/>
          <w:sz w:val="28"/>
        </w:rPr>
        <w:t>
      "СОГЛАСОВАН"</w:t>
      </w:r>
    </w:p>
    <w:bookmarkEnd w:id="18"/>
    <w:p>
      <w:pPr>
        <w:spacing w:after="0"/>
        <w:ind w:left="0"/>
        <w:jc w:val="both"/>
      </w:pPr>
      <w:r>
        <w:rPr>
          <w:rFonts w:ascii="Times New Roman"/>
          <w:b w:val="false"/>
          <w:i w:val="false"/>
          <w:color w:val="000000"/>
          <w:sz w:val="28"/>
        </w:rPr>
        <w:t>Комитет по правовой статистике</w:t>
      </w:r>
    </w:p>
    <w:p>
      <w:pPr>
        <w:spacing w:after="0"/>
        <w:ind w:left="0"/>
        <w:jc w:val="both"/>
      </w:pPr>
      <w:r>
        <w:rPr>
          <w:rFonts w:ascii="Times New Roman"/>
          <w:b w:val="false"/>
          <w:i w:val="false"/>
          <w:color w:val="000000"/>
          <w:sz w:val="28"/>
        </w:rPr>
        <w:t>и специальным учетам</w:t>
      </w:r>
    </w:p>
    <w:p>
      <w:pPr>
        <w:spacing w:after="0"/>
        <w:ind w:left="0"/>
        <w:jc w:val="both"/>
      </w:pPr>
      <w:r>
        <w:rPr>
          <w:rFonts w:ascii="Times New Roman"/>
          <w:b w:val="false"/>
          <w:i w:val="false"/>
          <w:color w:val="000000"/>
          <w:sz w:val="28"/>
        </w:rPr>
        <w:t>Генеральной прокуратуры</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совместному приказу</w:t>
            </w:r>
            <w:r>
              <w:br/>
            </w:r>
            <w:r>
              <w:rPr>
                <w:rFonts w:ascii="Times New Roman"/>
                <w:b w:val="false"/>
                <w:i w:val="false"/>
                <w:color w:val="000000"/>
                <w:sz w:val="20"/>
              </w:rPr>
              <w:t xml:space="preserve">Министра национальной </w:t>
            </w:r>
            <w:r>
              <w:br/>
            </w:r>
            <w:r>
              <w:rPr>
                <w:rFonts w:ascii="Times New Roman"/>
                <w:b w:val="false"/>
                <w:i w:val="false"/>
                <w:color w:val="000000"/>
                <w:sz w:val="20"/>
              </w:rPr>
              <w:t>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декабря 2022 года № 128 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Заместителя Премьер-Министра </w:t>
            </w:r>
            <w:r>
              <w:br/>
            </w:r>
            <w:r>
              <w:rPr>
                <w:rFonts w:ascii="Times New Roman"/>
                <w:b w:val="false"/>
                <w:i w:val="false"/>
                <w:color w:val="000000"/>
                <w:sz w:val="20"/>
              </w:rPr>
              <w:t>-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декабря 2022 года № 1284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 апреля 2021 года № 298 и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21 апреля 2021 года № 45</w:t>
            </w:r>
          </w:p>
        </w:tc>
      </w:tr>
    </w:tbl>
    <w:bookmarkStart w:name="z30" w:id="19"/>
    <w:p>
      <w:pPr>
        <w:spacing w:after="0"/>
        <w:ind w:left="0"/>
        <w:jc w:val="left"/>
      </w:pPr>
      <w:r>
        <w:rPr>
          <w:rFonts w:ascii="Times New Roman"/>
          <w:b/>
          <w:i w:val="false"/>
          <w:color w:val="000000"/>
        </w:rPr>
        <w:t xml:space="preserve"> Критерии оценки степени риска в области бухгалтерского учета и финансовой отчетности</w:t>
      </w:r>
    </w:p>
    <w:bookmarkEnd w:id="19"/>
    <w:bookmarkStart w:name="z31" w:id="20"/>
    <w:p>
      <w:pPr>
        <w:spacing w:after="0"/>
        <w:ind w:left="0"/>
        <w:jc w:val="left"/>
      </w:pPr>
      <w:r>
        <w:rPr>
          <w:rFonts w:ascii="Times New Roman"/>
          <w:b/>
          <w:i w:val="false"/>
          <w:color w:val="000000"/>
        </w:rPr>
        <w:t xml:space="preserve"> Глава 1. Общие положения</w:t>
      </w:r>
    </w:p>
    <w:bookmarkEnd w:id="20"/>
    <w:bookmarkStart w:name="z32" w:id="21"/>
    <w:p>
      <w:pPr>
        <w:spacing w:after="0"/>
        <w:ind w:left="0"/>
        <w:jc w:val="both"/>
      </w:pPr>
      <w:r>
        <w:rPr>
          <w:rFonts w:ascii="Times New Roman"/>
          <w:b w:val="false"/>
          <w:i w:val="false"/>
          <w:color w:val="000000"/>
          <w:sz w:val="28"/>
        </w:rPr>
        <w:t xml:space="preserve">
      1. Настоящие Критерии оценки степени риска в области бухгалтерского учета и финансовой отчетности (далее – Критерии) разработаны в соответствии со </w:t>
      </w:r>
      <w:r>
        <w:rPr>
          <w:rFonts w:ascii="Times New Roman"/>
          <w:b w:val="false"/>
          <w:i w:val="false"/>
          <w:color w:val="000000"/>
          <w:sz w:val="28"/>
        </w:rPr>
        <w:t>статьей 141</w:t>
      </w:r>
      <w:r>
        <w:rPr>
          <w:rFonts w:ascii="Times New Roman"/>
          <w:b w:val="false"/>
          <w:i w:val="false"/>
          <w:color w:val="000000"/>
          <w:sz w:val="28"/>
        </w:rPr>
        <w:t xml:space="preserve"> и </w:t>
      </w:r>
      <w:r>
        <w:rPr>
          <w:rFonts w:ascii="Times New Roman"/>
          <w:b w:val="false"/>
          <w:i w:val="false"/>
          <w:color w:val="000000"/>
          <w:sz w:val="28"/>
        </w:rPr>
        <w:t>статьей 143</w:t>
      </w:r>
      <w:r>
        <w:rPr>
          <w:rFonts w:ascii="Times New Roman"/>
          <w:b w:val="false"/>
          <w:i w:val="false"/>
          <w:color w:val="000000"/>
          <w:sz w:val="28"/>
        </w:rPr>
        <w:t xml:space="preserve"> Предпринимательского кодекса Республики Казахстан (далее – Кодекс),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национальной экономики Республики Казахстан от 22 июня 2022 года № 48 "Об утверждении Правил формирования регулирующими государственными органами системы оценки и управления рисками и о внесении изменений в приказ исполняющего обязанности Министра национальной экономики Республики Казахстан от 31 июля 2018 года № 3 "Об утверждении Правил формирования государственными органами системы оценки рисков и формы проверочных листов" (зарегистрирован в Реестре государственной регистрации нормативных правовых актов под № 28577) и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национальной экономики Республики Казахстан от 31 июля 2018 года № 3 "Об утверждении формы проверочных листов" (зарегистрирован в Реестре государственной регистрации нормативных правовых актов под № 17371), для отнесения субъектов контроля, осуществляющих деятельность в области бухгалтерского учета и финансовой отчетности, к степеням риска.</w:t>
      </w:r>
    </w:p>
    <w:bookmarkEnd w:id="21"/>
    <w:bookmarkStart w:name="z33" w:id="22"/>
    <w:p>
      <w:pPr>
        <w:spacing w:after="0"/>
        <w:ind w:left="0"/>
        <w:jc w:val="both"/>
      </w:pPr>
      <w:r>
        <w:rPr>
          <w:rFonts w:ascii="Times New Roman"/>
          <w:b w:val="false"/>
          <w:i w:val="false"/>
          <w:color w:val="000000"/>
          <w:sz w:val="28"/>
        </w:rPr>
        <w:t>
      2. В настоящих Критериях использованы следующие понятия:</w:t>
      </w:r>
    </w:p>
    <w:bookmarkEnd w:id="22"/>
    <w:bookmarkStart w:name="z34" w:id="23"/>
    <w:p>
      <w:pPr>
        <w:spacing w:after="0"/>
        <w:ind w:left="0"/>
        <w:jc w:val="both"/>
      </w:pPr>
      <w:r>
        <w:rPr>
          <w:rFonts w:ascii="Times New Roman"/>
          <w:b w:val="false"/>
          <w:i w:val="false"/>
          <w:color w:val="000000"/>
          <w:sz w:val="28"/>
        </w:rPr>
        <w:t>
      1) субъект (объект) контроля – организации публичного интереса (за исключением финансовых организаций), аккредитованные профессиональные организации бухгалтеров и аккредитованные организации по профессиональной сертификации бухгалтеров;</w:t>
      </w:r>
    </w:p>
    <w:bookmarkEnd w:id="23"/>
    <w:bookmarkStart w:name="z35" w:id="24"/>
    <w:p>
      <w:pPr>
        <w:spacing w:after="0"/>
        <w:ind w:left="0"/>
        <w:jc w:val="both"/>
      </w:pPr>
      <w:r>
        <w:rPr>
          <w:rFonts w:ascii="Times New Roman"/>
          <w:b w:val="false"/>
          <w:i w:val="false"/>
          <w:color w:val="000000"/>
          <w:sz w:val="28"/>
        </w:rPr>
        <w:t>
      2) незначительные нарушения – наличие одной либо двух подтвержденных жалоб и (или) обращений относительно деятельности объектов контроля;</w:t>
      </w:r>
    </w:p>
    <w:bookmarkEnd w:id="24"/>
    <w:bookmarkStart w:name="z36" w:id="25"/>
    <w:p>
      <w:pPr>
        <w:spacing w:after="0"/>
        <w:ind w:left="0"/>
        <w:jc w:val="both"/>
      </w:pPr>
      <w:r>
        <w:rPr>
          <w:rFonts w:ascii="Times New Roman"/>
          <w:b w:val="false"/>
          <w:i w:val="false"/>
          <w:color w:val="000000"/>
          <w:sz w:val="28"/>
        </w:rPr>
        <w:t>
      3) значительные нарушения – нарушения требований законодательства Республики Казахстан о бухгалтерском учете и финансовой отчетности, не влекущие административную ответственность либо наличие трех подтвержденных жалоб, обращений относительно деятельности объектов контроля;</w:t>
      </w:r>
    </w:p>
    <w:bookmarkEnd w:id="25"/>
    <w:bookmarkStart w:name="z37" w:id="26"/>
    <w:p>
      <w:pPr>
        <w:spacing w:after="0"/>
        <w:ind w:left="0"/>
        <w:jc w:val="both"/>
      </w:pPr>
      <w:r>
        <w:rPr>
          <w:rFonts w:ascii="Times New Roman"/>
          <w:b w:val="false"/>
          <w:i w:val="false"/>
          <w:color w:val="000000"/>
          <w:sz w:val="28"/>
        </w:rPr>
        <w:t xml:space="preserve">
      4) грубые нарушения – нарушения требований законодательства Республики Казахстан о бухгалтерском учете и финансовой отчетности, влекущие наложение административной ответственности согласно </w:t>
      </w:r>
      <w:r>
        <w:rPr>
          <w:rFonts w:ascii="Times New Roman"/>
          <w:b w:val="false"/>
          <w:i w:val="false"/>
          <w:color w:val="000000"/>
          <w:sz w:val="28"/>
        </w:rPr>
        <w:t>Кодексу</w:t>
      </w:r>
      <w:r>
        <w:rPr>
          <w:rFonts w:ascii="Times New Roman"/>
          <w:b w:val="false"/>
          <w:i w:val="false"/>
          <w:color w:val="000000"/>
          <w:sz w:val="28"/>
        </w:rPr>
        <w:t xml:space="preserve"> Республики Казахстан "Об административных правонарушениях" либо наличие пяти и более подтвержденных жалоб, обращений относительно деятельности объектов контроля;</w:t>
      </w:r>
    </w:p>
    <w:bookmarkEnd w:id="26"/>
    <w:bookmarkStart w:name="z38" w:id="27"/>
    <w:p>
      <w:pPr>
        <w:spacing w:after="0"/>
        <w:ind w:left="0"/>
        <w:jc w:val="both"/>
      </w:pPr>
      <w:r>
        <w:rPr>
          <w:rFonts w:ascii="Times New Roman"/>
          <w:b w:val="false"/>
          <w:i w:val="false"/>
          <w:color w:val="000000"/>
          <w:sz w:val="28"/>
        </w:rPr>
        <w:t>
      5) проверочный лист – перечень требований, предъявляемых к деятельности субъектов (объектов) контроля, несоблюдение которых влечет за собой угрозу законным интересам физических и юридических лиц, государства;</w:t>
      </w:r>
    </w:p>
    <w:bookmarkEnd w:id="27"/>
    <w:bookmarkStart w:name="z39" w:id="28"/>
    <w:p>
      <w:pPr>
        <w:spacing w:after="0"/>
        <w:ind w:left="0"/>
        <w:jc w:val="both"/>
      </w:pPr>
      <w:r>
        <w:rPr>
          <w:rFonts w:ascii="Times New Roman"/>
          <w:b w:val="false"/>
          <w:i w:val="false"/>
          <w:color w:val="000000"/>
          <w:sz w:val="28"/>
        </w:rPr>
        <w:t>
      6) риск – вероятность причинения вреда в результате деятельности субъекта контроля законным интересам физических и юридических лиц, имущественным интересам государства с учетом степени тяжести его последствий;</w:t>
      </w:r>
    </w:p>
    <w:bookmarkEnd w:id="28"/>
    <w:bookmarkStart w:name="z40" w:id="29"/>
    <w:p>
      <w:pPr>
        <w:spacing w:after="0"/>
        <w:ind w:left="0"/>
        <w:jc w:val="both"/>
      </w:pPr>
      <w:r>
        <w:rPr>
          <w:rFonts w:ascii="Times New Roman"/>
          <w:b w:val="false"/>
          <w:i w:val="false"/>
          <w:color w:val="000000"/>
          <w:sz w:val="28"/>
        </w:rPr>
        <w:t>
      7) система оценки и управления рисками – процесс принятия управленческих решений, направленных на снижение вероятности наступления неблагоприятных факторов путем распределения субъектов (объектов) контроля по степеням риска для последующего осуществления профилактического контроля с посещением субъекта (объекта) контроля и (или) проверок на соответствие разрешительным требованиям (далее - проверка на соответствие требованиям) с целью минимально возможной степени ограничения свободы предпринимательства, обеспечивая при этом допустимый уровень риска в соответствующих сферах деятельности, а также направленных на изменение уровня риска для конкретного субъекта (объекта) контроля и (или) освобождения такого субъекта (объекта) контроля от профилактического контроля с посещением субъекта (объекта) контроля и (или) проверок на соответствие требованиям;</w:t>
      </w:r>
    </w:p>
    <w:bookmarkEnd w:id="29"/>
    <w:bookmarkStart w:name="z41" w:id="30"/>
    <w:p>
      <w:pPr>
        <w:spacing w:after="0"/>
        <w:ind w:left="0"/>
        <w:jc w:val="both"/>
      </w:pPr>
      <w:r>
        <w:rPr>
          <w:rFonts w:ascii="Times New Roman"/>
          <w:b w:val="false"/>
          <w:i w:val="false"/>
          <w:color w:val="000000"/>
          <w:sz w:val="28"/>
        </w:rPr>
        <w:t>
      8) объективные критерии оценки степени риска (далее – объективные критерии) – критерии оценки степени риска, используемые для отбора субъектов (объектов) контроля в зависимости от степени риска в определенной сфере деятельности и не зависящие непосредственно от отдельного субъекта (объекта) контроля;</w:t>
      </w:r>
    </w:p>
    <w:bookmarkEnd w:id="30"/>
    <w:bookmarkStart w:name="z42" w:id="31"/>
    <w:p>
      <w:pPr>
        <w:spacing w:after="0"/>
        <w:ind w:left="0"/>
        <w:jc w:val="both"/>
      </w:pPr>
      <w:r>
        <w:rPr>
          <w:rFonts w:ascii="Times New Roman"/>
          <w:b w:val="false"/>
          <w:i w:val="false"/>
          <w:color w:val="000000"/>
          <w:sz w:val="28"/>
        </w:rPr>
        <w:t>
      9) критерии оценки степени риска – совокупность количественных и качественных показателей, связанных с непосредственной деятельностью субъекта контроля, особенностями отраслевого развития и факторами, влияющими на это развитие, позволяющих отнести субъекты (объекты) контроля к различным степеням риска;</w:t>
      </w:r>
    </w:p>
    <w:bookmarkEnd w:id="31"/>
    <w:bookmarkStart w:name="z43" w:id="32"/>
    <w:p>
      <w:pPr>
        <w:spacing w:after="0"/>
        <w:ind w:left="0"/>
        <w:jc w:val="both"/>
      </w:pPr>
      <w:r>
        <w:rPr>
          <w:rFonts w:ascii="Times New Roman"/>
          <w:b w:val="false"/>
          <w:i w:val="false"/>
          <w:color w:val="000000"/>
          <w:sz w:val="28"/>
        </w:rPr>
        <w:t>
      10) субъективные критерии оценки степени риска (далее – субъективные критерии) – критерии оценки степени риска, используемые для отбора субъектов (объектов) контроля в зависимости от результатов деятельности конкретного субъекта (объекта) контроля.</w:t>
      </w:r>
    </w:p>
    <w:bookmarkEnd w:id="32"/>
    <w:bookmarkStart w:name="z44" w:id="33"/>
    <w:p>
      <w:pPr>
        <w:spacing w:after="0"/>
        <w:ind w:left="0"/>
        <w:jc w:val="left"/>
      </w:pPr>
      <w:r>
        <w:rPr>
          <w:rFonts w:ascii="Times New Roman"/>
          <w:b/>
          <w:i w:val="false"/>
          <w:color w:val="000000"/>
        </w:rPr>
        <w:t xml:space="preserve"> Глава 2. Порядок формирования системы оценки и управления рисками при проведении проверки на соответствие требованиям и профилактического контроля субъектов (объектов) контроля</w:t>
      </w:r>
    </w:p>
    <w:bookmarkEnd w:id="33"/>
    <w:bookmarkStart w:name="z45" w:id="34"/>
    <w:p>
      <w:pPr>
        <w:spacing w:after="0"/>
        <w:ind w:left="0"/>
        <w:jc w:val="both"/>
      </w:pPr>
      <w:r>
        <w:rPr>
          <w:rFonts w:ascii="Times New Roman"/>
          <w:b w:val="false"/>
          <w:i w:val="false"/>
          <w:color w:val="000000"/>
          <w:sz w:val="28"/>
        </w:rPr>
        <w:t>
      3. При осуществлении профилактического контроля субъекта (объекта) контроля и (или) проверки в области бухгалтерского учета и финансовой отчетности на соответствие требованиям относит субъекты (объекты) контроля к одной из следующих степеням риска (далее – степени риска):</w:t>
      </w:r>
    </w:p>
    <w:bookmarkEnd w:id="34"/>
    <w:bookmarkStart w:name="z46" w:id="35"/>
    <w:p>
      <w:pPr>
        <w:spacing w:after="0"/>
        <w:ind w:left="0"/>
        <w:jc w:val="both"/>
      </w:pPr>
      <w:r>
        <w:rPr>
          <w:rFonts w:ascii="Times New Roman"/>
          <w:b w:val="false"/>
          <w:i w:val="false"/>
          <w:color w:val="000000"/>
          <w:sz w:val="28"/>
        </w:rPr>
        <w:t>
      1) высокий риск;</w:t>
      </w:r>
    </w:p>
    <w:bookmarkEnd w:id="35"/>
    <w:bookmarkStart w:name="z47" w:id="36"/>
    <w:p>
      <w:pPr>
        <w:spacing w:after="0"/>
        <w:ind w:left="0"/>
        <w:jc w:val="both"/>
      </w:pPr>
      <w:r>
        <w:rPr>
          <w:rFonts w:ascii="Times New Roman"/>
          <w:b w:val="false"/>
          <w:i w:val="false"/>
          <w:color w:val="000000"/>
          <w:sz w:val="28"/>
        </w:rPr>
        <w:t>
      2) средний риск.</w:t>
      </w:r>
    </w:p>
    <w:bookmarkEnd w:id="36"/>
    <w:bookmarkStart w:name="z48" w:id="37"/>
    <w:p>
      <w:pPr>
        <w:spacing w:after="0"/>
        <w:ind w:left="0"/>
        <w:jc w:val="both"/>
      </w:pPr>
      <w:r>
        <w:rPr>
          <w:rFonts w:ascii="Times New Roman"/>
          <w:b w:val="false"/>
          <w:i w:val="false"/>
          <w:color w:val="000000"/>
          <w:sz w:val="28"/>
        </w:rPr>
        <w:t>
      4. Для субъектов (объектов) контроля, отнесенных к высокой и средней степени риска, проводятся проверка на соответствие требованиям, профилактический контроль с посещением субъекта (объекта) контроля, и внеплановая проверка.</w:t>
      </w:r>
    </w:p>
    <w:bookmarkEnd w:id="37"/>
    <w:bookmarkStart w:name="z49" w:id="38"/>
    <w:p>
      <w:pPr>
        <w:spacing w:after="0"/>
        <w:ind w:left="0"/>
        <w:jc w:val="both"/>
      </w:pPr>
      <w:r>
        <w:rPr>
          <w:rFonts w:ascii="Times New Roman"/>
          <w:b w:val="false"/>
          <w:i w:val="false"/>
          <w:color w:val="000000"/>
          <w:sz w:val="28"/>
        </w:rPr>
        <w:t>
      5. Критерии оценки степени риска для проведения проверки на соответствие требованиям и профилактического контроля субъектов (объектов) контроля в области бухгалтерского учета и финансовой отчетности формируются посредством определения объективных и субъективных критериев.</w:t>
      </w:r>
    </w:p>
    <w:bookmarkEnd w:id="38"/>
    <w:bookmarkStart w:name="z50" w:id="39"/>
    <w:p>
      <w:pPr>
        <w:spacing w:after="0"/>
        <w:ind w:left="0"/>
        <w:jc w:val="left"/>
      </w:pPr>
      <w:r>
        <w:rPr>
          <w:rFonts w:ascii="Times New Roman"/>
          <w:b/>
          <w:i w:val="false"/>
          <w:color w:val="000000"/>
        </w:rPr>
        <w:t xml:space="preserve"> Параграф 1. Объективные критерии оценки степени риска</w:t>
      </w:r>
    </w:p>
    <w:bookmarkEnd w:id="39"/>
    <w:bookmarkStart w:name="z51" w:id="40"/>
    <w:p>
      <w:pPr>
        <w:spacing w:after="0"/>
        <w:ind w:left="0"/>
        <w:jc w:val="both"/>
      </w:pPr>
      <w:r>
        <w:rPr>
          <w:rFonts w:ascii="Times New Roman"/>
          <w:b w:val="false"/>
          <w:i w:val="false"/>
          <w:color w:val="000000"/>
          <w:sz w:val="28"/>
        </w:rPr>
        <w:t>
      6. Определение объективных критериев осуществляется посредством определения риска.</w:t>
      </w:r>
    </w:p>
    <w:bookmarkEnd w:id="40"/>
    <w:bookmarkStart w:name="z52" w:id="41"/>
    <w:p>
      <w:pPr>
        <w:spacing w:after="0"/>
        <w:ind w:left="0"/>
        <w:jc w:val="both"/>
      </w:pPr>
      <w:r>
        <w:rPr>
          <w:rFonts w:ascii="Times New Roman"/>
          <w:b w:val="false"/>
          <w:i w:val="false"/>
          <w:color w:val="000000"/>
          <w:sz w:val="28"/>
        </w:rPr>
        <w:t>
      7. После проведения анализа всех возможных рисков субъекты (объекты) контроля распределяются по двум степеням риска (высокая и средняя).</w:t>
      </w:r>
    </w:p>
    <w:bookmarkEnd w:id="41"/>
    <w:bookmarkStart w:name="z53" w:id="42"/>
    <w:p>
      <w:pPr>
        <w:spacing w:after="0"/>
        <w:ind w:left="0"/>
        <w:jc w:val="both"/>
      </w:pPr>
      <w:r>
        <w:rPr>
          <w:rFonts w:ascii="Times New Roman"/>
          <w:b w:val="false"/>
          <w:i w:val="false"/>
          <w:color w:val="000000"/>
          <w:sz w:val="28"/>
        </w:rPr>
        <w:t>
      8. По объективным критериям к субъектам контроля с высокой степенью риска относятся организации публичного интереса (за исключением финансовых организаций).</w:t>
      </w:r>
    </w:p>
    <w:bookmarkEnd w:id="42"/>
    <w:bookmarkStart w:name="z54" w:id="43"/>
    <w:p>
      <w:pPr>
        <w:spacing w:after="0"/>
        <w:ind w:left="0"/>
        <w:jc w:val="both"/>
      </w:pPr>
      <w:r>
        <w:rPr>
          <w:rFonts w:ascii="Times New Roman"/>
          <w:b w:val="false"/>
          <w:i w:val="false"/>
          <w:color w:val="000000"/>
          <w:sz w:val="28"/>
        </w:rPr>
        <w:t>
      9. По объективным критериям к субъектам контроля со средней степенью риска относятся аккредитованные организации по профессиональной сертификации бухгалтеров и аккредитованные профессиональные организации бухгалтеров.</w:t>
      </w:r>
    </w:p>
    <w:bookmarkEnd w:id="43"/>
    <w:bookmarkStart w:name="z55" w:id="44"/>
    <w:p>
      <w:pPr>
        <w:spacing w:after="0"/>
        <w:ind w:left="0"/>
        <w:jc w:val="left"/>
      </w:pPr>
      <w:r>
        <w:rPr>
          <w:rFonts w:ascii="Times New Roman"/>
          <w:b/>
          <w:i w:val="false"/>
          <w:color w:val="000000"/>
        </w:rPr>
        <w:t xml:space="preserve"> Параграф 2. Субъективные критерии оценки степени риска</w:t>
      </w:r>
    </w:p>
    <w:bookmarkEnd w:id="44"/>
    <w:bookmarkStart w:name="z56" w:id="45"/>
    <w:p>
      <w:pPr>
        <w:spacing w:after="0"/>
        <w:ind w:left="0"/>
        <w:jc w:val="both"/>
      </w:pPr>
      <w:r>
        <w:rPr>
          <w:rFonts w:ascii="Times New Roman"/>
          <w:b w:val="false"/>
          <w:i w:val="false"/>
          <w:color w:val="000000"/>
          <w:sz w:val="28"/>
        </w:rPr>
        <w:t>
      10. Определение субъективных критериев осуществляется с применением следующих этапов:</w:t>
      </w:r>
    </w:p>
    <w:bookmarkEnd w:id="45"/>
    <w:bookmarkStart w:name="z57" w:id="46"/>
    <w:p>
      <w:pPr>
        <w:spacing w:after="0"/>
        <w:ind w:left="0"/>
        <w:jc w:val="both"/>
      </w:pPr>
      <w:r>
        <w:rPr>
          <w:rFonts w:ascii="Times New Roman"/>
          <w:b w:val="false"/>
          <w:i w:val="false"/>
          <w:color w:val="000000"/>
          <w:sz w:val="28"/>
        </w:rPr>
        <w:t>
      1) формирование базы данных и сбор информации;</w:t>
      </w:r>
    </w:p>
    <w:bookmarkEnd w:id="46"/>
    <w:bookmarkStart w:name="z58" w:id="47"/>
    <w:p>
      <w:pPr>
        <w:spacing w:after="0"/>
        <w:ind w:left="0"/>
        <w:jc w:val="both"/>
      </w:pPr>
      <w:r>
        <w:rPr>
          <w:rFonts w:ascii="Times New Roman"/>
          <w:b w:val="false"/>
          <w:i w:val="false"/>
          <w:color w:val="000000"/>
          <w:sz w:val="28"/>
        </w:rPr>
        <w:t>
      2) анализ информации и оценка рисков.</w:t>
      </w:r>
    </w:p>
    <w:bookmarkEnd w:id="47"/>
    <w:bookmarkStart w:name="z59" w:id="48"/>
    <w:p>
      <w:pPr>
        <w:spacing w:after="0"/>
        <w:ind w:left="0"/>
        <w:jc w:val="both"/>
      </w:pPr>
      <w:r>
        <w:rPr>
          <w:rFonts w:ascii="Times New Roman"/>
          <w:b w:val="false"/>
          <w:i w:val="false"/>
          <w:color w:val="000000"/>
          <w:sz w:val="28"/>
        </w:rPr>
        <w:t>
      11. Формирование базы данных и сбор информации необходимы для выявления субъектов (объектов) контроля, нарушающих законодательство Республики Казахстан о бухгалтерском учете и финансовой отчетности.</w:t>
      </w:r>
    </w:p>
    <w:bookmarkEnd w:id="48"/>
    <w:bookmarkStart w:name="z60" w:id="49"/>
    <w:p>
      <w:pPr>
        <w:spacing w:after="0"/>
        <w:ind w:left="0"/>
        <w:jc w:val="both"/>
      </w:pPr>
      <w:r>
        <w:rPr>
          <w:rFonts w:ascii="Times New Roman"/>
          <w:b w:val="false"/>
          <w:i w:val="false"/>
          <w:color w:val="000000"/>
          <w:sz w:val="28"/>
        </w:rPr>
        <w:t>
      Для оценки степени рисков по субъективным критериям для проведения профилактического контроля с посещением субъекта (объекта) контроля используются следующие источники информации:</w:t>
      </w:r>
    </w:p>
    <w:bookmarkEnd w:id="49"/>
    <w:bookmarkStart w:name="z61" w:id="50"/>
    <w:p>
      <w:pPr>
        <w:spacing w:after="0"/>
        <w:ind w:left="0"/>
        <w:jc w:val="both"/>
      </w:pPr>
      <w:r>
        <w:rPr>
          <w:rFonts w:ascii="Times New Roman"/>
          <w:b w:val="false"/>
          <w:i w:val="false"/>
          <w:color w:val="000000"/>
          <w:sz w:val="28"/>
        </w:rPr>
        <w:t>
      1) результаты мониторинга отчетности и сведений, представляемых субъектом контроля;</w:t>
      </w:r>
    </w:p>
    <w:bookmarkEnd w:id="50"/>
    <w:bookmarkStart w:name="z62" w:id="51"/>
    <w:p>
      <w:pPr>
        <w:spacing w:after="0"/>
        <w:ind w:left="0"/>
        <w:jc w:val="both"/>
      </w:pPr>
      <w:r>
        <w:rPr>
          <w:rFonts w:ascii="Times New Roman"/>
          <w:b w:val="false"/>
          <w:i w:val="false"/>
          <w:color w:val="000000"/>
          <w:sz w:val="28"/>
        </w:rPr>
        <w:t>
      2) результаты предыдущих проверок и профилактического контроля с посещением субъектов (объектов) контроля;</w:t>
      </w:r>
    </w:p>
    <w:bookmarkEnd w:id="51"/>
    <w:bookmarkStart w:name="z63" w:id="52"/>
    <w:p>
      <w:pPr>
        <w:spacing w:after="0"/>
        <w:ind w:left="0"/>
        <w:jc w:val="both"/>
      </w:pPr>
      <w:r>
        <w:rPr>
          <w:rFonts w:ascii="Times New Roman"/>
          <w:b w:val="false"/>
          <w:i w:val="false"/>
          <w:color w:val="000000"/>
          <w:sz w:val="28"/>
        </w:rPr>
        <w:t>
      3) наличие и количество подтвержденных жалоб и обращений.</w:t>
      </w:r>
    </w:p>
    <w:bookmarkEnd w:id="52"/>
    <w:bookmarkStart w:name="z64" w:id="53"/>
    <w:p>
      <w:pPr>
        <w:spacing w:after="0"/>
        <w:ind w:left="0"/>
        <w:jc w:val="both"/>
      </w:pPr>
      <w:r>
        <w:rPr>
          <w:rFonts w:ascii="Times New Roman"/>
          <w:b w:val="false"/>
          <w:i w:val="false"/>
          <w:color w:val="000000"/>
          <w:sz w:val="28"/>
        </w:rPr>
        <w:t>
      Для оценки степени рисков по субъективным критериям для проведения проверки на соответствие требованиям используются следующие источники информации:</w:t>
      </w:r>
    </w:p>
    <w:bookmarkEnd w:id="53"/>
    <w:bookmarkStart w:name="z65" w:id="54"/>
    <w:p>
      <w:pPr>
        <w:spacing w:after="0"/>
        <w:ind w:left="0"/>
        <w:jc w:val="both"/>
      </w:pPr>
      <w:r>
        <w:rPr>
          <w:rFonts w:ascii="Times New Roman"/>
          <w:b w:val="false"/>
          <w:i w:val="false"/>
          <w:color w:val="000000"/>
          <w:sz w:val="28"/>
        </w:rPr>
        <w:t>
      1) результаты мониторинга отчетности и сведений, представляемых субъектом контроля;</w:t>
      </w:r>
    </w:p>
    <w:bookmarkEnd w:id="54"/>
    <w:bookmarkStart w:name="z66" w:id="55"/>
    <w:p>
      <w:pPr>
        <w:spacing w:after="0"/>
        <w:ind w:left="0"/>
        <w:jc w:val="both"/>
      </w:pPr>
      <w:r>
        <w:rPr>
          <w:rFonts w:ascii="Times New Roman"/>
          <w:b w:val="false"/>
          <w:i w:val="false"/>
          <w:color w:val="000000"/>
          <w:sz w:val="28"/>
        </w:rPr>
        <w:t>
      2) результаты предыдущих проверок субъектов (объектов) контроля;</w:t>
      </w:r>
    </w:p>
    <w:bookmarkEnd w:id="55"/>
    <w:bookmarkStart w:name="z67" w:id="56"/>
    <w:p>
      <w:pPr>
        <w:spacing w:after="0"/>
        <w:ind w:left="0"/>
        <w:jc w:val="both"/>
      </w:pPr>
      <w:r>
        <w:rPr>
          <w:rFonts w:ascii="Times New Roman"/>
          <w:b w:val="false"/>
          <w:i w:val="false"/>
          <w:color w:val="000000"/>
          <w:sz w:val="28"/>
        </w:rPr>
        <w:t>
      3) наличие и количество подтвержденных жалоб и обращений.</w:t>
      </w:r>
    </w:p>
    <w:bookmarkEnd w:id="56"/>
    <w:bookmarkStart w:name="z68" w:id="57"/>
    <w:p>
      <w:pPr>
        <w:spacing w:after="0"/>
        <w:ind w:left="0"/>
        <w:jc w:val="both"/>
      </w:pPr>
      <w:r>
        <w:rPr>
          <w:rFonts w:ascii="Times New Roman"/>
          <w:b w:val="false"/>
          <w:i w:val="false"/>
          <w:color w:val="000000"/>
          <w:sz w:val="28"/>
        </w:rPr>
        <w:t>
      12. При формировании субъективных критериев степень нарушения (грубое, значительное, незначительное) присваивается в соответствии с установленными определениями грубых, значительных и незначительных нарушений в соответствии с субъективными критериями для проведения профилактического контроля согласно приложению 1 к настоящим Критериям и в соответствии с субъективными критериями для проведения проверки на соответствие требованиям согласно приложению 2 к настоящим Критериям.</w:t>
      </w:r>
    </w:p>
    <w:bookmarkEnd w:id="57"/>
    <w:bookmarkStart w:name="z69" w:id="58"/>
    <w:p>
      <w:pPr>
        <w:spacing w:after="0"/>
        <w:ind w:left="0"/>
        <w:jc w:val="both"/>
      </w:pPr>
      <w:r>
        <w:rPr>
          <w:rFonts w:ascii="Times New Roman"/>
          <w:b w:val="false"/>
          <w:i w:val="false"/>
          <w:color w:val="000000"/>
          <w:sz w:val="28"/>
        </w:rPr>
        <w:t>
      13. Анализ и оценка субъективных критериев позволяет сконцентрировать проведение проверки на соответствие требованиям и профилактический контроль субъекта (объекта) контроля в отношении субъекта (объекта) контроля с наибольшим потенциальным риском.</w:t>
      </w:r>
    </w:p>
    <w:bookmarkEnd w:id="58"/>
    <w:bookmarkStart w:name="z70" w:id="59"/>
    <w:p>
      <w:pPr>
        <w:spacing w:after="0"/>
        <w:ind w:left="0"/>
        <w:jc w:val="both"/>
      </w:pPr>
      <w:r>
        <w:rPr>
          <w:rFonts w:ascii="Times New Roman"/>
          <w:b w:val="false"/>
          <w:i w:val="false"/>
          <w:color w:val="000000"/>
          <w:sz w:val="28"/>
        </w:rPr>
        <w:t>
      При этом, при анализе и оценке не применяются данные субъективных критериев, ранее учтенные и использованные в отношении конкретного субъекта (объекта) контроля либо данные, по которым истек срок исковой давности в соответствии с законодательством Республики Казахстан.</w:t>
      </w:r>
    </w:p>
    <w:bookmarkEnd w:id="59"/>
    <w:bookmarkStart w:name="z71" w:id="60"/>
    <w:p>
      <w:pPr>
        <w:spacing w:after="0"/>
        <w:ind w:left="0"/>
        <w:jc w:val="both"/>
      </w:pPr>
      <w:r>
        <w:rPr>
          <w:rFonts w:ascii="Times New Roman"/>
          <w:b w:val="false"/>
          <w:i w:val="false"/>
          <w:color w:val="000000"/>
          <w:sz w:val="28"/>
        </w:rPr>
        <w:t>
      В отношении субъектов контроля, устранивших в полном объеме выданные нарушения по итогам проведенного предыдущего профилактического контроля с посещением и (или) проверки на соответствие требованиям, не допускается включение их при формировании графиков и списков на очередной период государственного контроля.</w:t>
      </w:r>
    </w:p>
    <w:bookmarkEnd w:id="60"/>
    <w:bookmarkStart w:name="z72" w:id="61"/>
    <w:p>
      <w:pPr>
        <w:spacing w:after="0"/>
        <w:ind w:left="0"/>
        <w:jc w:val="both"/>
      </w:pPr>
      <w:r>
        <w:rPr>
          <w:rFonts w:ascii="Times New Roman"/>
          <w:b w:val="false"/>
          <w:i w:val="false"/>
          <w:color w:val="000000"/>
          <w:sz w:val="28"/>
        </w:rPr>
        <w:t>
      14. Исходя из приоритетности применяемых источников информации в соответствии с порядком расчета общего показателя степени риска по субъективным критериям в соответствии с главой 3 настоящих Критерий рассчитывается общий показатель степени риска по субъективным критериям по шкале от 0 до 100.</w:t>
      </w:r>
    </w:p>
    <w:bookmarkEnd w:id="61"/>
    <w:bookmarkStart w:name="z73" w:id="62"/>
    <w:p>
      <w:pPr>
        <w:spacing w:after="0"/>
        <w:ind w:left="0"/>
        <w:jc w:val="both"/>
      </w:pPr>
      <w:r>
        <w:rPr>
          <w:rFonts w:ascii="Times New Roman"/>
          <w:b w:val="false"/>
          <w:i w:val="false"/>
          <w:color w:val="000000"/>
          <w:sz w:val="28"/>
        </w:rPr>
        <w:t>
      По показателям степени риска субъект (объект) контроля относится:</w:t>
      </w:r>
    </w:p>
    <w:bookmarkEnd w:id="62"/>
    <w:bookmarkStart w:name="z74" w:id="63"/>
    <w:p>
      <w:pPr>
        <w:spacing w:after="0"/>
        <w:ind w:left="0"/>
        <w:jc w:val="both"/>
      </w:pPr>
      <w:r>
        <w:rPr>
          <w:rFonts w:ascii="Times New Roman"/>
          <w:b w:val="false"/>
          <w:i w:val="false"/>
          <w:color w:val="000000"/>
          <w:sz w:val="28"/>
        </w:rPr>
        <w:t>
      1) к высокой степени риска – при показателе степени риска от 71 до 100 включительно;</w:t>
      </w:r>
    </w:p>
    <w:bookmarkEnd w:id="63"/>
    <w:bookmarkStart w:name="z75" w:id="64"/>
    <w:p>
      <w:pPr>
        <w:spacing w:after="0"/>
        <w:ind w:left="0"/>
        <w:jc w:val="both"/>
      </w:pPr>
      <w:r>
        <w:rPr>
          <w:rFonts w:ascii="Times New Roman"/>
          <w:b w:val="false"/>
          <w:i w:val="false"/>
          <w:color w:val="000000"/>
          <w:sz w:val="28"/>
        </w:rPr>
        <w:t>
      2) к средней степени риска – при показателе степени риска от 31 до 70 включительно.</w:t>
      </w:r>
    </w:p>
    <w:bookmarkEnd w:id="64"/>
    <w:bookmarkStart w:name="z76" w:id="65"/>
    <w:p>
      <w:pPr>
        <w:spacing w:after="0"/>
        <w:ind w:left="0"/>
        <w:jc w:val="left"/>
      </w:pPr>
      <w:r>
        <w:rPr>
          <w:rFonts w:ascii="Times New Roman"/>
          <w:b/>
          <w:i w:val="false"/>
          <w:color w:val="000000"/>
        </w:rPr>
        <w:t xml:space="preserve"> Параграф 3. Управление рисками</w:t>
      </w:r>
    </w:p>
    <w:bookmarkEnd w:id="65"/>
    <w:bookmarkStart w:name="z77" w:id="66"/>
    <w:p>
      <w:pPr>
        <w:spacing w:after="0"/>
        <w:ind w:left="0"/>
        <w:jc w:val="both"/>
      </w:pPr>
      <w:r>
        <w:rPr>
          <w:rFonts w:ascii="Times New Roman"/>
          <w:b w:val="false"/>
          <w:i w:val="false"/>
          <w:color w:val="000000"/>
          <w:sz w:val="28"/>
        </w:rPr>
        <w:t>
      15. В целях реализации принципа поощрения добросовестных субъектов контроля и концентрации контроля на нарушителях субъекты (объекты) контроля освобождаются от проведения профилактического контроля с посещением субъекта (объекта) контроля и (или) проверки на соответствие требованиям на период, определяемый критериями оценки степени риска, посредством применения субъективных критериев.</w:t>
      </w:r>
    </w:p>
    <w:bookmarkEnd w:id="66"/>
    <w:bookmarkStart w:name="z78" w:id="67"/>
    <w:p>
      <w:pPr>
        <w:spacing w:after="0"/>
        <w:ind w:left="0"/>
        <w:jc w:val="both"/>
      </w:pPr>
      <w:r>
        <w:rPr>
          <w:rFonts w:ascii="Times New Roman"/>
          <w:b w:val="false"/>
          <w:i w:val="false"/>
          <w:color w:val="000000"/>
          <w:sz w:val="28"/>
        </w:rPr>
        <w:t>
      16. Освобождение от профилактического контроля с посещением субъекта (объекта) контроля и (или) проведения проверки на соответствие требованиям возможно на основании применяемых альтернативных (независимых) систем оценки и анализа рисков, аудита, экспертиз в соответствии с критериями оценки степени риска, если такие основания предусмотрены в международных договорах, ратифицированных Республикой Казахстан.</w:t>
      </w:r>
    </w:p>
    <w:bookmarkEnd w:id="67"/>
    <w:bookmarkStart w:name="z79" w:id="68"/>
    <w:p>
      <w:pPr>
        <w:spacing w:after="0"/>
        <w:ind w:left="0"/>
        <w:jc w:val="left"/>
      </w:pPr>
      <w:r>
        <w:rPr>
          <w:rFonts w:ascii="Times New Roman"/>
          <w:b/>
          <w:i w:val="false"/>
          <w:color w:val="000000"/>
        </w:rPr>
        <w:t xml:space="preserve"> Глава 3. Порядок расчета общего показателя степени риска по субъективным критериям</w:t>
      </w:r>
    </w:p>
    <w:bookmarkEnd w:id="68"/>
    <w:bookmarkStart w:name="z80" w:id="69"/>
    <w:p>
      <w:pPr>
        <w:spacing w:after="0"/>
        <w:ind w:left="0"/>
        <w:jc w:val="both"/>
      </w:pPr>
      <w:r>
        <w:rPr>
          <w:rFonts w:ascii="Times New Roman"/>
          <w:b w:val="false"/>
          <w:i w:val="false"/>
          <w:color w:val="000000"/>
          <w:sz w:val="28"/>
        </w:rPr>
        <w:t>
      17. Для отнесения субъекта контроля к степени риска в соответствии с пунктом 14 настоящих Критерий применяется следующий порядок расчета показателя степени риска.</w:t>
      </w:r>
    </w:p>
    <w:bookmarkEnd w:id="69"/>
    <w:bookmarkStart w:name="z81" w:id="70"/>
    <w:p>
      <w:pPr>
        <w:spacing w:after="0"/>
        <w:ind w:left="0"/>
        <w:jc w:val="both"/>
      </w:pPr>
      <w:r>
        <w:rPr>
          <w:rFonts w:ascii="Times New Roman"/>
          <w:b w:val="false"/>
          <w:i w:val="false"/>
          <w:color w:val="000000"/>
          <w:sz w:val="28"/>
        </w:rPr>
        <w:t>
      При выявлении одного грубого нарушения субъекту контроля приравнивается показатель степени риска 100 и в отношении него проводится проверка на соответствие требованиям или профилактический контроль с посещением субъекта (объекта) контроля.</w:t>
      </w:r>
    </w:p>
    <w:bookmarkEnd w:id="70"/>
    <w:bookmarkStart w:name="z82" w:id="71"/>
    <w:p>
      <w:pPr>
        <w:spacing w:after="0"/>
        <w:ind w:left="0"/>
        <w:jc w:val="both"/>
      </w:pPr>
      <w:r>
        <w:rPr>
          <w:rFonts w:ascii="Times New Roman"/>
          <w:b w:val="false"/>
          <w:i w:val="false"/>
          <w:color w:val="000000"/>
          <w:sz w:val="28"/>
        </w:rPr>
        <w:t>
      При не выявлении грубых нарушений определения показателя степени риска рассчитывается суммарным показателем по нарушениям значительной степени.</w:t>
      </w:r>
    </w:p>
    <w:bookmarkEnd w:id="71"/>
    <w:bookmarkStart w:name="z83" w:id="72"/>
    <w:p>
      <w:pPr>
        <w:spacing w:after="0"/>
        <w:ind w:left="0"/>
        <w:jc w:val="both"/>
      </w:pPr>
      <w:r>
        <w:rPr>
          <w:rFonts w:ascii="Times New Roman"/>
          <w:b w:val="false"/>
          <w:i w:val="false"/>
          <w:color w:val="000000"/>
          <w:sz w:val="28"/>
        </w:rPr>
        <w:t>
      При определении показателя значительных нарушений применяется коэффициент 0,7 и данный показатель рассчитывается по следующей формуле:</w:t>
      </w:r>
    </w:p>
    <w:bookmarkEnd w:id="72"/>
    <w:bookmarkStart w:name="z84" w:id="73"/>
    <w:p>
      <w:pPr>
        <w:spacing w:after="0"/>
        <w:ind w:left="0"/>
        <w:jc w:val="both"/>
      </w:pPr>
      <w:r>
        <w:rPr>
          <w:rFonts w:ascii="Times New Roman"/>
          <w:b w:val="false"/>
          <w:i w:val="false"/>
          <w:color w:val="000000"/>
          <w:sz w:val="28"/>
        </w:rPr>
        <w:t>
      SРз = (SР2 х 100/SР1) х 0,7,</w:t>
      </w:r>
    </w:p>
    <w:bookmarkEnd w:id="73"/>
    <w:bookmarkStart w:name="z85" w:id="74"/>
    <w:p>
      <w:pPr>
        <w:spacing w:after="0"/>
        <w:ind w:left="0"/>
        <w:jc w:val="both"/>
      </w:pPr>
      <w:r>
        <w:rPr>
          <w:rFonts w:ascii="Times New Roman"/>
          <w:b w:val="false"/>
          <w:i w:val="false"/>
          <w:color w:val="000000"/>
          <w:sz w:val="28"/>
        </w:rPr>
        <w:t>
      где:</w:t>
      </w:r>
    </w:p>
    <w:bookmarkEnd w:id="74"/>
    <w:bookmarkStart w:name="z86" w:id="75"/>
    <w:p>
      <w:pPr>
        <w:spacing w:after="0"/>
        <w:ind w:left="0"/>
        <w:jc w:val="both"/>
      </w:pPr>
      <w:r>
        <w:rPr>
          <w:rFonts w:ascii="Times New Roman"/>
          <w:b w:val="false"/>
          <w:i w:val="false"/>
          <w:color w:val="000000"/>
          <w:sz w:val="28"/>
        </w:rPr>
        <w:t>
      SРз – показатель значительных нарушений;</w:t>
      </w:r>
    </w:p>
    <w:bookmarkEnd w:id="75"/>
    <w:bookmarkStart w:name="z87" w:id="76"/>
    <w:p>
      <w:pPr>
        <w:spacing w:after="0"/>
        <w:ind w:left="0"/>
        <w:jc w:val="both"/>
      </w:pPr>
      <w:r>
        <w:rPr>
          <w:rFonts w:ascii="Times New Roman"/>
          <w:b w:val="false"/>
          <w:i w:val="false"/>
          <w:color w:val="000000"/>
          <w:sz w:val="28"/>
        </w:rPr>
        <w:t>
      SР1 – требуемое количество значительных нарушений;</w:t>
      </w:r>
    </w:p>
    <w:bookmarkEnd w:id="76"/>
    <w:bookmarkStart w:name="z88" w:id="77"/>
    <w:p>
      <w:pPr>
        <w:spacing w:after="0"/>
        <w:ind w:left="0"/>
        <w:jc w:val="both"/>
      </w:pPr>
      <w:r>
        <w:rPr>
          <w:rFonts w:ascii="Times New Roman"/>
          <w:b w:val="false"/>
          <w:i w:val="false"/>
          <w:color w:val="000000"/>
          <w:sz w:val="28"/>
        </w:rPr>
        <w:t>
      SР2 – количество выявленных значительных нарушений.</w:t>
      </w:r>
    </w:p>
    <w:bookmarkEnd w:id="77"/>
    <w:bookmarkStart w:name="z89" w:id="78"/>
    <w:p>
      <w:pPr>
        <w:spacing w:after="0"/>
        <w:ind w:left="0"/>
        <w:jc w:val="both"/>
      </w:pPr>
      <w:r>
        <w:rPr>
          <w:rFonts w:ascii="Times New Roman"/>
          <w:b w:val="false"/>
          <w:i w:val="false"/>
          <w:color w:val="000000"/>
          <w:sz w:val="28"/>
        </w:rPr>
        <w:t>
      При определении показателя незначительных нарушений применяется коэффициент 0,3 и данный показатель рассчитывается по следующей формуле:</w:t>
      </w:r>
    </w:p>
    <w:bookmarkEnd w:id="78"/>
    <w:bookmarkStart w:name="z90" w:id="79"/>
    <w:p>
      <w:pPr>
        <w:spacing w:after="0"/>
        <w:ind w:left="0"/>
        <w:jc w:val="both"/>
      </w:pPr>
      <w:r>
        <w:rPr>
          <w:rFonts w:ascii="Times New Roman"/>
          <w:b w:val="false"/>
          <w:i w:val="false"/>
          <w:color w:val="000000"/>
          <w:sz w:val="28"/>
        </w:rPr>
        <w:t>
      SРн = (SР2 х 100/SР1) х 0,3,</w:t>
      </w:r>
    </w:p>
    <w:bookmarkEnd w:id="79"/>
    <w:bookmarkStart w:name="z91" w:id="80"/>
    <w:p>
      <w:pPr>
        <w:spacing w:after="0"/>
        <w:ind w:left="0"/>
        <w:jc w:val="both"/>
      </w:pPr>
      <w:r>
        <w:rPr>
          <w:rFonts w:ascii="Times New Roman"/>
          <w:b w:val="false"/>
          <w:i w:val="false"/>
          <w:color w:val="000000"/>
          <w:sz w:val="28"/>
        </w:rPr>
        <w:t>
      где:</w:t>
      </w:r>
    </w:p>
    <w:bookmarkEnd w:id="80"/>
    <w:bookmarkStart w:name="z92" w:id="81"/>
    <w:p>
      <w:pPr>
        <w:spacing w:after="0"/>
        <w:ind w:left="0"/>
        <w:jc w:val="both"/>
      </w:pPr>
      <w:r>
        <w:rPr>
          <w:rFonts w:ascii="Times New Roman"/>
          <w:b w:val="false"/>
          <w:i w:val="false"/>
          <w:color w:val="000000"/>
          <w:sz w:val="28"/>
        </w:rPr>
        <w:t>
      SРн – показатель незначительных нарушений;</w:t>
      </w:r>
    </w:p>
    <w:bookmarkEnd w:id="81"/>
    <w:bookmarkStart w:name="z93" w:id="82"/>
    <w:p>
      <w:pPr>
        <w:spacing w:after="0"/>
        <w:ind w:left="0"/>
        <w:jc w:val="both"/>
      </w:pPr>
      <w:r>
        <w:rPr>
          <w:rFonts w:ascii="Times New Roman"/>
          <w:b w:val="false"/>
          <w:i w:val="false"/>
          <w:color w:val="000000"/>
          <w:sz w:val="28"/>
        </w:rPr>
        <w:t>
      SР1 – требуемое количество незначительных нарушений;</w:t>
      </w:r>
    </w:p>
    <w:bookmarkEnd w:id="82"/>
    <w:bookmarkStart w:name="z94" w:id="83"/>
    <w:p>
      <w:pPr>
        <w:spacing w:after="0"/>
        <w:ind w:left="0"/>
        <w:jc w:val="both"/>
      </w:pPr>
      <w:r>
        <w:rPr>
          <w:rFonts w:ascii="Times New Roman"/>
          <w:b w:val="false"/>
          <w:i w:val="false"/>
          <w:color w:val="000000"/>
          <w:sz w:val="28"/>
        </w:rPr>
        <w:t>
      SР2 – количество выявленных незначительных нарушений;</w:t>
      </w:r>
    </w:p>
    <w:bookmarkEnd w:id="83"/>
    <w:bookmarkStart w:name="z95" w:id="84"/>
    <w:p>
      <w:pPr>
        <w:spacing w:after="0"/>
        <w:ind w:left="0"/>
        <w:jc w:val="both"/>
      </w:pPr>
      <w:r>
        <w:rPr>
          <w:rFonts w:ascii="Times New Roman"/>
          <w:b w:val="false"/>
          <w:i w:val="false"/>
          <w:color w:val="000000"/>
          <w:sz w:val="28"/>
        </w:rPr>
        <w:t>
      Общий показатель степени риска (SР) рассчитывается по шкале от 0 до 100 и определяется путем суммирования показателей значительных и незначительных нарушений по следующей формуле:</w:t>
      </w:r>
    </w:p>
    <w:bookmarkEnd w:id="84"/>
    <w:bookmarkStart w:name="z96" w:id="85"/>
    <w:p>
      <w:pPr>
        <w:spacing w:after="0"/>
        <w:ind w:left="0"/>
        <w:jc w:val="both"/>
      </w:pPr>
      <w:r>
        <w:rPr>
          <w:rFonts w:ascii="Times New Roman"/>
          <w:b w:val="false"/>
          <w:i w:val="false"/>
          <w:color w:val="000000"/>
          <w:sz w:val="28"/>
        </w:rPr>
        <w:t>
      SР = SРз + SРн,</w:t>
      </w:r>
    </w:p>
    <w:bookmarkEnd w:id="85"/>
    <w:bookmarkStart w:name="z97" w:id="86"/>
    <w:p>
      <w:pPr>
        <w:spacing w:after="0"/>
        <w:ind w:left="0"/>
        <w:jc w:val="both"/>
      </w:pPr>
      <w:r>
        <w:rPr>
          <w:rFonts w:ascii="Times New Roman"/>
          <w:b w:val="false"/>
          <w:i w:val="false"/>
          <w:color w:val="000000"/>
          <w:sz w:val="28"/>
        </w:rPr>
        <w:t>
      где:</w:t>
      </w:r>
    </w:p>
    <w:bookmarkEnd w:id="86"/>
    <w:bookmarkStart w:name="z98" w:id="87"/>
    <w:p>
      <w:pPr>
        <w:spacing w:after="0"/>
        <w:ind w:left="0"/>
        <w:jc w:val="both"/>
      </w:pPr>
      <w:r>
        <w:rPr>
          <w:rFonts w:ascii="Times New Roman"/>
          <w:b w:val="false"/>
          <w:i w:val="false"/>
          <w:color w:val="000000"/>
          <w:sz w:val="28"/>
        </w:rPr>
        <w:t>
      SР – общий показатель степени риска;</w:t>
      </w:r>
    </w:p>
    <w:bookmarkEnd w:id="87"/>
    <w:bookmarkStart w:name="z99" w:id="88"/>
    <w:p>
      <w:pPr>
        <w:spacing w:after="0"/>
        <w:ind w:left="0"/>
        <w:jc w:val="both"/>
      </w:pPr>
      <w:r>
        <w:rPr>
          <w:rFonts w:ascii="Times New Roman"/>
          <w:b w:val="false"/>
          <w:i w:val="false"/>
          <w:color w:val="000000"/>
          <w:sz w:val="28"/>
        </w:rPr>
        <w:t>
      SРз – показатель значительных нарушений;</w:t>
      </w:r>
    </w:p>
    <w:bookmarkEnd w:id="88"/>
    <w:bookmarkStart w:name="z100" w:id="89"/>
    <w:p>
      <w:pPr>
        <w:spacing w:after="0"/>
        <w:ind w:left="0"/>
        <w:jc w:val="both"/>
      </w:pPr>
      <w:r>
        <w:rPr>
          <w:rFonts w:ascii="Times New Roman"/>
          <w:b w:val="false"/>
          <w:i w:val="false"/>
          <w:color w:val="000000"/>
          <w:sz w:val="28"/>
        </w:rPr>
        <w:t>
      SРн – показатель незначительных нарушений.</w:t>
      </w:r>
    </w:p>
    <w:bookmarkEnd w:id="89"/>
    <w:bookmarkStart w:name="z101" w:id="90"/>
    <w:p>
      <w:pPr>
        <w:spacing w:after="0"/>
        <w:ind w:left="0"/>
        <w:jc w:val="both"/>
      </w:pPr>
      <w:r>
        <w:rPr>
          <w:rFonts w:ascii="Times New Roman"/>
          <w:b w:val="false"/>
          <w:i w:val="false"/>
          <w:color w:val="000000"/>
          <w:sz w:val="28"/>
        </w:rPr>
        <w:t>
      Полученное значение общего показателя является основанием отнесения субъекта предпринимательства к определенной степени риска в соответствии с пунктом 14 настоящих Критерий.</w:t>
      </w:r>
    </w:p>
    <w:bookmarkEnd w:id="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 xml:space="preserve">к Критериям оценки степени </w:t>
            </w:r>
            <w:r>
              <w:br/>
            </w:r>
            <w:r>
              <w:rPr>
                <w:rFonts w:ascii="Times New Roman"/>
                <w:b w:val="false"/>
                <w:i w:val="false"/>
                <w:color w:val="000000"/>
                <w:sz w:val="20"/>
              </w:rPr>
              <w:t xml:space="preserve">риска в области бухгалтерского </w:t>
            </w:r>
            <w:r>
              <w:br/>
            </w:r>
            <w:r>
              <w:rPr>
                <w:rFonts w:ascii="Times New Roman"/>
                <w:b w:val="false"/>
                <w:i w:val="false"/>
                <w:color w:val="000000"/>
                <w:sz w:val="20"/>
              </w:rPr>
              <w:t>учета и финансовой отчетности</w:t>
            </w:r>
          </w:p>
        </w:tc>
      </w:tr>
    </w:tbl>
    <w:bookmarkStart w:name="z103" w:id="91"/>
    <w:p>
      <w:pPr>
        <w:spacing w:after="0"/>
        <w:ind w:left="0"/>
        <w:jc w:val="left"/>
      </w:pPr>
      <w:r>
        <w:rPr>
          <w:rFonts w:ascii="Times New Roman"/>
          <w:b/>
          <w:i w:val="false"/>
          <w:color w:val="000000"/>
        </w:rPr>
        <w:t xml:space="preserve"> Субъективные критерии для проведения профилактического контроля</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(степень тяжести нарушения устанавливается при несоблюдении нижеперечисленных требований)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нарушения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 организациям публичного интереса (за исключением финансовых организаций)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представляемых субъектом (объектом) контроля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достоверной, не искаженной финансовой отчетности, не сокрытие данных, подлежащих отражению в бухгалтерском учете, а равно не уничтожение бухгалтерской документации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финансовой отчетности без нарушения установленного срока либо непредставление ее с уважительной причиной учредителям (участникам) организаций в соответствии с учредительными документами, уполномоченному органу в области государственной статистики по месту регистрации, органам государственного контроля и в депозитарий финансовой отчетности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главного бухгалтера организаций публичного интереса сертификата профессионального бухгалтера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Подписание финансовой отчетности главным бухгалтером организации публичного интереса, являющимся профессиональным бухгалтером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предыдущих проверок и профилактического контроля с посещением субъектов (объектов) контроля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достоверной, не искаженной финансовой отчетности, не сокрытие данных, подлежащих отражению в бухгалтерском учете, а равно не уничтожение бухгалтерской документации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финансовой отчетности без нарушения установленного срока либо непредставление ее с уважительной причиной учредителям (участникам) организаций в соответствии с учредительными документами, уполномоченному органу в области государственной статистики по месту регистрации, органам государственного контроля и в депозитарий финансовой отчетности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главного бухгалтера организаций публичного интереса сертификата профессионального бухгалтера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Подписание финансовой отчетности главным бухгалтером организации публичного интереса, являющимся профессиональным бухгалтером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Неразглашение бухгалтерской информации, составляющей коммерческую тайну, лицами, имеющими доступ к 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аккредитованным профессиональным организациям бухгалтеров</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представляемых субъектом (объектом) контроля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течение одного месяца с момента аккредитации профессиональной организации бухгалтеров представление в состав Консультативного органа одного представителя с подтверждением опыта работы не менее семи лет в сфере бухгалтерской и (или) аудиторской деятельности, наличие полной квалификации The Association of Chartered Certified Accountants (ACCA) (Зэ Исоушиэйшн оф Чартерд Сертифаид Экаунтэнтс) (ЭЙСИСИЭЙ), либо Certified Public Accountant (CPA) (Сертифаид Паблик Экаунтэнт) (СИПИЭЙ), либо Диплома Diploma in the International Financial Reporting (DipIFR ACCA) (Диплоумэ ин зэ Интернашнэл Файнаншл Рипортин) (ДИайпиАЙЭФАР ЭЙСИСИЭЙ), либо квалификационного свидетельства о присвоении квалификации "аудитор", либо сертификата профессионального бухгалтера, либо (ученой) степени в области экономики, финансов, бухгалтерского учета, аудита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соглашения о взаимодействии с одной или несколькими аккредитованными организациями по профессиональной сертификации бухгалтеров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в уполномоченный орган отчета о количестве бухгалтеров, профессиональных бухгалтеров и бухгалтерских организаций, вступивших (выбывших) в аккредитованную профессиональную организацию бухгалтеров, в срок до 15 марта года, следующего за отчетным годом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в уполномоченный орган отчета о повышении квалификации членов аккредитованной профессиональной организации бухгалтеров, в срок до 15 марта года, следующего за отчетным годом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в уполномоченный орган отчета о сотрудничестве с международными организациями в области бухгалтерского учета и отчетности в срок до 15 марта года, следующего за отчетным годом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в уполномоченный орган отчета об изменении структуры рабочих органов аккредитованной профессиональной организации бухгалтеров в срок до 15 марта года, следующего за отчетным годом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Прохождение процедуры аккредитации при изменении наименования, организационно-правовой формы, реорганизации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свидетельства об аккредитации профессиональной организации бухгалтеров при изменении юридического адреса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предыдущих проверок и профилактического контроля с посещением субъектов (объектов) контроля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течение одного месяца с момента аккредитации профессиональной организации бухгалтеров представление в состав Консультативного органа одного представителя с подтверждением опыта работы не менее семи лет в сфере бухгалтерской и (или) аудиторской деятельности, наличие полной квалификации The Association of Chartered Certified Accountants (ACCA) (Зэ Исоушиэйшн оф Чартерд Сертифаид Экаунтэнтс) (ЭЙСИСИЭЙ), либо Certified Public Accountant (CPA) (Сертифаид Паблик Экаунтэнт) (СИПИЭЙ), либо Диплома Diploma in the International Financial Reporting (DipIFR ACCA) (Диплоумэ ин зэ Интернашнэл Файнаншл Рипортин) (ДИайпиАЙЭФАР ЭЙСИСИЭЙ), либо квалификационного свидетельства о присвоении квалификации "аудитор", либо сертификата профессионального бухгалтера, либо (ученой) степени в области экономики, финансов, бухгалтерского учета, аудита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соглашения о взаимодействии с одной или несколькими аккредитованными организациями по профессиональной сертификации бухгалтеров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в уполномоченный орган отчета о количестве бухгалтеров, профессиональных бухгалтеров и бухгалтерских организаций, вступивших (выбывших) в аккредитованную профессиональную организацию бухгалтеров, в срок до 15 марта года, следующего за отчетным годом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в уполномоченный орган отчета о повышении квалификации членов аккредитованной профессиональной организации бухгалтеров, в срок до 15 марта года, следующего за отчетным годом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в уполномоченный орган отчета о сотрудничестве с международными организациями в области бухгалтерского учета и отчетности в срок до 15 марта года, следующего за отчетным годом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в уполномоченный орган отчета об изменении структуры рабочих органов аккредитованной профессиональной организации бухгалтеров в срок до 15 марта года, следующего за отчетным годом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Прохождение процедуры аккредитации при изменении наименования, организационно-правовой формы, реорганизации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свидетельства об аккредитации профессиональной организации бухгалтеров при изменении юридического адреса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удовлетворенных жалоб, обращений и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одной или двух подтвержденных жалоб и обращений относительно деятельности аккредитованных профессиональных организаций бухгалтеров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трех подтвержденных жалоб и обращений относительно деятельности аккредитованных профессиональных организаций бухгалтеров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пяти и более подтвержденных жалоб и обращений относительно деятельности аккредитованных профессиональных организаций бухгалтеров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По аккредитованным организациям по профессиональной сертификации бухгалтеров</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представляемых субъектом (объектом) контроля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обновленных экзаменационных модулей по дисциплинам "Финансовый учет и отчетность по международным стандартам финансовой отчетности", "Управленческий учет", "Финансы и финансовый менеджмент", "Налоги", "Право (гражданское право, банковское дело, страховое и пенсионное законодательство)", "Этика" и представление их в уполномоченный орган в течение девяноста календарных дней со дня введения в действие изменений в международный стандарт финансовой отчетности и законодательство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издание и распространение материалов по программам сертификации кандидатов в профессиональные бухгалтеры, организация экзаменационного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92"/>
          <w:p>
            <w:pPr>
              <w:spacing w:after="20"/>
              <w:ind w:left="20"/>
              <w:jc w:val="both"/>
            </w:pPr>
            <w:r>
              <w:rPr>
                <w:rFonts w:ascii="Times New Roman"/>
                <w:b w:val="false"/>
                <w:i w:val="false"/>
                <w:color w:val="000000"/>
                <w:sz w:val="20"/>
              </w:rPr>
              <w:t>
Допуск кандидата в профессиональные бухгалтеры на сертификацию, за исключением лица, имеющего квалификационное свидетельство о присвоении квалификации "аудитор", выданное Квалификационной комиссией по аттестации кандидатов в аудиторы, при наличии следующих документов:</w:t>
            </w:r>
          </w:p>
          <w:bookmarkEnd w:id="92"/>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с указанием названия дисциплины (дисциплин);</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копия документа, удостоверяющего личность;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3) нотариально заверенная копия документа, подтверждающая высшее образование;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заверенная нотариально или кадровой службой, или работодателем копии документов, подтверждающих стаж работы не менее последних трех лет в области бухгалтерской, экономической, финансовой, аудиторской, контрольно-ревизионной, учетно-аналитической работы или в области научно-преподавательской деятельности по бухгалтерскому учету и аудиту в учебных заведениях высшего, послесреднего, технического и профессионального образования;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нотариально заверенная копия документа, подтверждающая сдачу квалификационного экзамена на адвоката или нотариуса, либо судью (при его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копии соответствующих международных сертификатов (при их наличии);</w:t>
            </w:r>
          </w:p>
          <w:p>
            <w:pPr>
              <w:spacing w:after="20"/>
              <w:ind w:left="20"/>
              <w:jc w:val="both"/>
            </w:pPr>
            <w:r>
              <w:rPr>
                <w:rFonts w:ascii="Times New Roman"/>
                <w:b w:val="false"/>
                <w:i w:val="false"/>
                <w:color w:val="000000"/>
                <w:sz w:val="20"/>
              </w:rPr>
              <w:t>
7) письменное уведомление или иной документ о сдаче отдельных экзаменов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экзаменов по профессиональной сертификации бухгалтеров совместно с профессиональной организацией, с которой заключено соглашение о взаимодействии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в уполномоченный орган отчета о признанных и выданных сертификатах аккредитованной организацией по профессиональной сертификации бухгалтеров в течение трех месяцев с даты проведения экзаменов, признанных и выданных сертификатов, а также с даты внесения изменений в экзаменационные модули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в уполномоченный орган отчета о проведенных экзаменах по дисциплинам и об изменении экзаменационных модулей в течение трех месяцев с даты проведения экзаменов, признанных и выданных сертификатов, а также с даты внесения изменений в экзаменационные модули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Прохождение процедуры аккредитации при изменении наименования, организационно-правовой формы, реорганизации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свидетельства об аккредитации организацией по профессиональной сертификации бухгалтеров при изменении юридического адреса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проведении экзамена в режиме онлайн комиссия имеет свой дистанционный веб-портал, а также свою программу (платформу), обеспечивающую непрерывный и качественный порядок проведения экзамена в режиме онлайн и обеспечивающую доступ к нему независимых наблюдателей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предыдущих проверок и профилактического контроля с посещением субъектов (объектов) контроля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обновленных экзаменационных модулей по дисциплинам "Финансовый учет и отчетность по международным стандартам финансовой отчетности", "Управленческий учет", "Финансы и финансовый менеджмент", "Налоги", "Право (гражданское право, банковское дело, страховое и пенсионное законодательство)", "Этика" и представление их в уполномоченный орган в течение девяноста календарных дней со дня введения в действие изменений в международный стандарт финансовой отчетности и законодательство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издание и распространение материалов по программам сертификации кандидатов в профессиональные бухгалтеры, организация экзаменационного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93"/>
          <w:p>
            <w:pPr>
              <w:spacing w:after="20"/>
              <w:ind w:left="20"/>
              <w:jc w:val="both"/>
            </w:pPr>
            <w:r>
              <w:rPr>
                <w:rFonts w:ascii="Times New Roman"/>
                <w:b w:val="false"/>
                <w:i w:val="false"/>
                <w:color w:val="000000"/>
                <w:sz w:val="20"/>
              </w:rPr>
              <w:t>
Допуск кандидата в профессиональные бухгалтеры на сертификацию, за исключением лица, имеющего квалификационное свидетельство о присвоении квалификации "аудитор", выданное Квалификационной комиссией по аттестации кандидатов в аудиторы, при наличии следующих документов:</w:t>
            </w:r>
          </w:p>
          <w:bookmarkEnd w:id="93"/>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с указанием названия дисциплины (дисциплин);</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копия документа, удостоверяющего личность;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3) нотариально заверенная копия документа, подтверждающая высшее образование;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заверенная нотариально или кадровой службой, или работодателем копии документов, подтверждающих стаж работы не менее последних трех лет в области бухгалтерской, экономической, финансовой, аудиторской, контрольно-ревизионной, учетно-аналитической работы или в области научно-преподавательской деятельности по бухгалтерскому учету и аудиту в учебных заведениях высшего, послесреднего, технического и профессионального образования;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нотариально заверенная копия документа, подтверждающая сдачу квалификационного экзамена на адвоката или нотариуса, либо судью (при его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копии соответствующих международных сертификатов (при их наличии);</w:t>
            </w:r>
          </w:p>
          <w:p>
            <w:pPr>
              <w:spacing w:after="20"/>
              <w:ind w:left="20"/>
              <w:jc w:val="both"/>
            </w:pPr>
            <w:r>
              <w:rPr>
                <w:rFonts w:ascii="Times New Roman"/>
                <w:b w:val="false"/>
                <w:i w:val="false"/>
                <w:color w:val="000000"/>
                <w:sz w:val="20"/>
              </w:rPr>
              <w:t>
7) письменное уведомление или иной документ о сдаче отдельных экзаменов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экзаменов по профессиональной сертификации бухгалтеров совместно с профессиональной организацией, с которой заключено соглашение о взаимодействии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в уполномоченный орган отчета о признанных и выданных сертификатах аккредитованной организацией по профессиональной сертификации бухгалтеров в течение трех месяцев с даты проведения экзаменов, признанных и выданных сертификатов, а также с даты внесения изменений в экзаменационные модули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в уполномоченный орган отчета о проведенных экзаменах по дисциплинам и об изменении экзаменационных модулей в течение трех месяцев с даты проведения экзаменов, признанных и выданных сертификатов, а также с даты внесения изменений в экзаменационные модули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Прохождение процедуры аккредитации при изменении наименования, организационно-правовой формы, реорганизации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свидетельства об аккредитации организацией по профессиональной сертификации бухгалтеров при изменении юридического адреса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проведении экзамена в режиме онлайн комиссия имеет свой дистанционный веб-портал, а также свою программу (платформу), обеспечивающую непрерывный и качественный порядок проведения экзамена в режиме онлайн и обеспечивающую доступ к нему независимых наблюдателей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удовлетворенных жалоб, обращений и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одной или двух подтвержденных жалоб и обращений относительно деятельности аккредитованных организации по профессиональной сертификации бухгалтеров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трех подтвержденных жалоб и обращений относительно деятельности аккредитованных организации по профессиональной сертификации бухгалтеров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пяти и более подтвержденных жалоб и обращений относительно деятельности аккредитованных организации по профессиональной сертификации бухгалтеров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 xml:space="preserve">к Критериям оценки степени </w:t>
            </w:r>
            <w:r>
              <w:br/>
            </w:r>
            <w:r>
              <w:rPr>
                <w:rFonts w:ascii="Times New Roman"/>
                <w:b w:val="false"/>
                <w:i w:val="false"/>
                <w:color w:val="000000"/>
                <w:sz w:val="20"/>
              </w:rPr>
              <w:t xml:space="preserve">риска в области бухгалтерского </w:t>
            </w:r>
            <w:r>
              <w:br/>
            </w:r>
            <w:r>
              <w:rPr>
                <w:rFonts w:ascii="Times New Roman"/>
                <w:b w:val="false"/>
                <w:i w:val="false"/>
                <w:color w:val="000000"/>
                <w:sz w:val="20"/>
              </w:rPr>
              <w:t>учета и финансовой отчетности</w:t>
            </w:r>
          </w:p>
        </w:tc>
      </w:tr>
    </w:tbl>
    <w:bookmarkStart w:name="z119" w:id="94"/>
    <w:p>
      <w:pPr>
        <w:spacing w:after="0"/>
        <w:ind w:left="0"/>
        <w:jc w:val="left"/>
      </w:pPr>
      <w:r>
        <w:rPr>
          <w:rFonts w:ascii="Times New Roman"/>
          <w:b/>
          <w:i w:val="false"/>
          <w:color w:val="000000"/>
        </w:rPr>
        <w:t xml:space="preserve"> Субъективные критерии для проведения проверки на соответствие требованиям</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(степень тяжести нарушения устанавливается при несоблюдении нижеперечисленных требований)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нарушения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 аккредитованным профессиональным организациям бухгалтеров</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представляемых субъектом (объектом) контроля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составе профессиональной организации не менее трехсот профессиональных бухгалтеров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95"/>
          <w:p>
            <w:pPr>
              <w:spacing w:after="20"/>
              <w:ind w:left="20"/>
              <w:jc w:val="both"/>
            </w:pPr>
            <w:r>
              <w:rPr>
                <w:rFonts w:ascii="Times New Roman"/>
                <w:b w:val="false"/>
                <w:i w:val="false"/>
                <w:color w:val="000000"/>
                <w:sz w:val="20"/>
              </w:rPr>
              <w:t>
Наличие рабочих органов:</w:t>
            </w:r>
          </w:p>
          <w:bookmarkEnd w:id="95"/>
          <w:p>
            <w:pPr>
              <w:spacing w:after="20"/>
              <w:ind w:left="20"/>
              <w:jc w:val="both"/>
            </w:pPr>
            <w:r>
              <w:rPr>
                <w:rFonts w:ascii="Times New Roman"/>
                <w:b w:val="false"/>
                <w:i w:val="false"/>
                <w:color w:val="000000"/>
                <w:sz w:val="20"/>
              </w:rPr>
              <w:t>
</w:t>
            </w:r>
            <w:r>
              <w:rPr>
                <w:rFonts w:ascii="Times New Roman"/>
                <w:b w:val="false"/>
                <w:i w:val="false"/>
                <w:color w:val="000000"/>
                <w:sz w:val="20"/>
              </w:rPr>
              <w:t>1) по международным стандартам финансовой отчетности;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 по повышению квалификации бухгалтеров;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по вопросам этики;</w:t>
            </w:r>
          </w:p>
          <w:p>
            <w:pPr>
              <w:spacing w:after="20"/>
              <w:ind w:left="20"/>
              <w:jc w:val="both"/>
            </w:pPr>
            <w:r>
              <w:rPr>
                <w:rFonts w:ascii="Times New Roman"/>
                <w:b w:val="false"/>
                <w:i w:val="false"/>
                <w:color w:val="000000"/>
                <w:sz w:val="20"/>
              </w:rPr>
              <w:t>
4) по рассмотрению споров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системы повышения квалификации своих членов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предыдущего внеплановых проверок и профилактического контроля с посещением субъектов (объектов) контроля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составе профессиональной организации не менее трехсот профессиональных бухгалтеров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96"/>
          <w:p>
            <w:pPr>
              <w:spacing w:after="20"/>
              <w:ind w:left="20"/>
              <w:jc w:val="both"/>
            </w:pPr>
            <w:r>
              <w:rPr>
                <w:rFonts w:ascii="Times New Roman"/>
                <w:b w:val="false"/>
                <w:i w:val="false"/>
                <w:color w:val="000000"/>
                <w:sz w:val="20"/>
              </w:rPr>
              <w:t>
Наличие рабочих органов:</w:t>
            </w:r>
          </w:p>
          <w:bookmarkEnd w:id="96"/>
          <w:p>
            <w:pPr>
              <w:spacing w:after="20"/>
              <w:ind w:left="20"/>
              <w:jc w:val="both"/>
            </w:pPr>
            <w:r>
              <w:rPr>
                <w:rFonts w:ascii="Times New Roman"/>
                <w:b w:val="false"/>
                <w:i w:val="false"/>
                <w:color w:val="000000"/>
                <w:sz w:val="20"/>
              </w:rPr>
              <w:t>
</w:t>
            </w:r>
            <w:r>
              <w:rPr>
                <w:rFonts w:ascii="Times New Roman"/>
                <w:b w:val="false"/>
                <w:i w:val="false"/>
                <w:color w:val="000000"/>
                <w:sz w:val="20"/>
              </w:rPr>
              <w:t>1) по международным стандартам финансовой отчетности;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 по повышению квалификации бухгалтеров;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по вопросам этики;</w:t>
            </w:r>
          </w:p>
          <w:p>
            <w:pPr>
              <w:spacing w:after="20"/>
              <w:ind w:left="20"/>
              <w:jc w:val="both"/>
            </w:pPr>
            <w:r>
              <w:rPr>
                <w:rFonts w:ascii="Times New Roman"/>
                <w:b w:val="false"/>
                <w:i w:val="false"/>
                <w:color w:val="000000"/>
                <w:sz w:val="20"/>
              </w:rPr>
              <w:t>
4) по рассмотрению споров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системы повышения квалификации своих членов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удовлетворенных жалоб, обращений и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одной или двух подтвержденных жалоб и обращений относительно деятельности аккредитованных организации по профессиональной сертификации бухгалтеров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трех подтвержденных жалоб и обращений относительно деятельности аккредитованных организации по профессиональной сертификации бухгалтеров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пяти и более подтвержденных жалоб и обращений относительно деятельности аккредитованных организации по профессиональной сертификации бухгалтеров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аккредитованным организациям по профессиональной сертификации бухгалтеров</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представляемых субъектом (объектом) контроля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экзаменационных модулей по дисциплинам "Финансовый учет и отчетность по международным стандартам финансовой отчетности", "Управленческий учет", "Финансы и финансовый менеджмент", "Налоги", "Право (гражданское право, банковское дело, страховое и пенсионное законодательство)", "Этика"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97"/>
          <w:p>
            <w:pPr>
              <w:spacing w:after="20"/>
              <w:ind w:left="20"/>
              <w:jc w:val="both"/>
            </w:pPr>
            <w:r>
              <w:rPr>
                <w:rFonts w:ascii="Times New Roman"/>
                <w:b w:val="false"/>
                <w:i w:val="false"/>
                <w:color w:val="000000"/>
                <w:sz w:val="20"/>
              </w:rPr>
              <w:t>
Наличие порядка оценки результатов экзаменов:</w:t>
            </w:r>
          </w:p>
          <w:bookmarkEnd w:id="97"/>
          <w:p>
            <w:pPr>
              <w:spacing w:after="20"/>
              <w:ind w:left="20"/>
              <w:jc w:val="both"/>
            </w:pPr>
            <w:r>
              <w:rPr>
                <w:rFonts w:ascii="Times New Roman"/>
                <w:b w:val="false"/>
                <w:i w:val="false"/>
                <w:color w:val="000000"/>
                <w:sz w:val="20"/>
              </w:rPr>
              <w:t>
</w:t>
            </w:r>
            <w:r>
              <w:rPr>
                <w:rFonts w:ascii="Times New Roman"/>
                <w:b w:val="false"/>
                <w:i w:val="false"/>
                <w:color w:val="000000"/>
                <w:sz w:val="20"/>
              </w:rPr>
              <w:t>1) правил формирования экзаменационных билетов;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правил оценки результатов экзамена;</w:t>
            </w:r>
          </w:p>
          <w:p>
            <w:pPr>
              <w:spacing w:after="20"/>
              <w:ind w:left="20"/>
              <w:jc w:val="both"/>
            </w:pPr>
            <w:r>
              <w:rPr>
                <w:rFonts w:ascii="Times New Roman"/>
                <w:b w:val="false"/>
                <w:i w:val="false"/>
                <w:color w:val="000000"/>
                <w:sz w:val="20"/>
              </w:rPr>
              <w:t>
3) правил кодирования/раскодирования экзаменационных работ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соглашения о взаимодействии с одной или несколькими аккредитованными профессиональными организациями бухгалтеров по истечении шести месяцев с момента выдачи свидетельства об аккредитации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 зависимой от обучения экзаменационной системы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предыдущего внеплановых проверок и профилактического контроля с посещением субъектов (объектов) контроля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экзаменационных модулей по дисциплинам "Финансовый учет и отчетность по международным стандартам финансовой отчетности", "Управленческий учет", "Финансы и финансовый менеджмент", "Налоги", "Право (гражданское право, банковское дело, страховое и пенсионное законодательство)", "Этика"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98"/>
          <w:p>
            <w:pPr>
              <w:spacing w:after="20"/>
              <w:ind w:left="20"/>
              <w:jc w:val="both"/>
            </w:pPr>
            <w:r>
              <w:rPr>
                <w:rFonts w:ascii="Times New Roman"/>
                <w:b w:val="false"/>
                <w:i w:val="false"/>
                <w:color w:val="000000"/>
                <w:sz w:val="20"/>
              </w:rPr>
              <w:t>
Наличие порядка оценки результатов экзаменов:</w:t>
            </w:r>
          </w:p>
          <w:bookmarkEnd w:id="98"/>
          <w:p>
            <w:pPr>
              <w:spacing w:after="20"/>
              <w:ind w:left="20"/>
              <w:jc w:val="both"/>
            </w:pPr>
            <w:r>
              <w:rPr>
                <w:rFonts w:ascii="Times New Roman"/>
                <w:b w:val="false"/>
                <w:i w:val="false"/>
                <w:color w:val="000000"/>
                <w:sz w:val="20"/>
              </w:rPr>
              <w:t>
</w:t>
            </w:r>
            <w:r>
              <w:rPr>
                <w:rFonts w:ascii="Times New Roman"/>
                <w:b w:val="false"/>
                <w:i w:val="false"/>
                <w:color w:val="000000"/>
                <w:sz w:val="20"/>
              </w:rPr>
              <w:t>1) правил формирования экзаменационных билетов;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правил оценки результатов экзамена;</w:t>
            </w:r>
          </w:p>
          <w:p>
            <w:pPr>
              <w:spacing w:after="20"/>
              <w:ind w:left="20"/>
              <w:jc w:val="both"/>
            </w:pPr>
            <w:r>
              <w:rPr>
                <w:rFonts w:ascii="Times New Roman"/>
                <w:b w:val="false"/>
                <w:i w:val="false"/>
                <w:color w:val="000000"/>
                <w:sz w:val="20"/>
              </w:rPr>
              <w:t>
3) правил кодирования/раскодирования экзаменационных работ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соглашения о взаимодействии с одной или несколькими аккредитованными профессиональными организациями бухгалтеров по истечении шести месяцев с момента выдачи свидетельства об аккредитации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 зависимой от обучения экзаменационной системы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удовлетворенных жалоб, обращений и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одной или двух подтвержденных жалоб и обращений относительно деятельности аккредитованных организации по профессиональной сертификации бухгалтеров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трех подтвержденных жалоб и обращений относительно деятельности аккредитованных организации по профессиональной сертификации бухгалтеров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пяти и более подтвержденных жалоб и обращений относительно деятельности аккредитованных организации по профессиональной сертификации бухгалтеров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совместному приказу</w:t>
            </w:r>
            <w:r>
              <w:br/>
            </w:r>
            <w:r>
              <w:rPr>
                <w:rFonts w:ascii="Times New Roman"/>
                <w:b w:val="false"/>
                <w:i w:val="false"/>
                <w:color w:val="000000"/>
                <w:sz w:val="20"/>
              </w:rPr>
              <w:t xml:space="preserve">Министра национальной </w:t>
            </w:r>
            <w:r>
              <w:br/>
            </w:r>
            <w:r>
              <w:rPr>
                <w:rFonts w:ascii="Times New Roman"/>
                <w:b w:val="false"/>
                <w:i w:val="false"/>
                <w:color w:val="000000"/>
                <w:sz w:val="20"/>
              </w:rPr>
              <w:t>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декабря 2022 года № 128 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Заместителя Премьер-Министра </w:t>
            </w:r>
            <w:r>
              <w:br/>
            </w:r>
            <w:r>
              <w:rPr>
                <w:rFonts w:ascii="Times New Roman"/>
                <w:b w:val="false"/>
                <w:i w:val="false"/>
                <w:color w:val="000000"/>
                <w:sz w:val="20"/>
              </w:rPr>
              <w:t>-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декабря 2022 года № 1284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 апреля 2021 года № 298 и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21 апреля 2021 года № 45</w:t>
            </w:r>
          </w:p>
        </w:tc>
      </w:tr>
    </w:tbl>
    <w:bookmarkStart w:name="z137" w:id="99"/>
    <w:p>
      <w:pPr>
        <w:spacing w:after="0"/>
        <w:ind w:left="0"/>
        <w:jc w:val="left"/>
      </w:pPr>
      <w:r>
        <w:rPr>
          <w:rFonts w:ascii="Times New Roman"/>
          <w:b/>
          <w:i w:val="false"/>
          <w:color w:val="000000"/>
        </w:rPr>
        <w:t xml:space="preserve"> Проверочный лист</w:t>
      </w:r>
    </w:p>
    <w:bookmarkEnd w:id="99"/>
    <w:p>
      <w:pPr>
        <w:spacing w:after="0"/>
        <w:ind w:left="0"/>
        <w:jc w:val="both"/>
      </w:pPr>
      <w:bookmarkStart w:name="z138" w:id="100"/>
      <w:r>
        <w:rPr>
          <w:rFonts w:ascii="Times New Roman"/>
          <w:b w:val="false"/>
          <w:i w:val="false"/>
          <w:color w:val="000000"/>
          <w:sz w:val="28"/>
        </w:rPr>
        <w:t xml:space="preserve">
      _________в области бухгалтерского учета и финансовой отчетности__________ в </w:t>
      </w:r>
    </w:p>
    <w:bookmarkEnd w:id="100"/>
    <w:p>
      <w:pPr>
        <w:spacing w:after="0"/>
        <w:ind w:left="0"/>
        <w:jc w:val="both"/>
      </w:pPr>
      <w:r>
        <w:rPr>
          <w:rFonts w:ascii="Times New Roman"/>
          <w:b w:val="false"/>
          <w:i w:val="false"/>
          <w:color w:val="000000"/>
          <w:sz w:val="28"/>
        </w:rPr>
        <w:t xml:space="preserve">       соответствии со </w:t>
      </w:r>
      <w:r>
        <w:rPr>
          <w:rFonts w:ascii="Times New Roman"/>
          <w:b w:val="false"/>
          <w:i w:val="false"/>
          <w:color w:val="000000"/>
          <w:sz w:val="28"/>
        </w:rPr>
        <w:t>статьей 138</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Предпринимательского кодекса Республики Казахстан</w:t>
      </w:r>
    </w:p>
    <w:p>
      <w:pPr>
        <w:spacing w:after="0"/>
        <w:ind w:left="0"/>
        <w:jc w:val="both"/>
      </w:pPr>
      <w:r>
        <w:rPr>
          <w:rFonts w:ascii="Times New Roman"/>
          <w:b w:val="false"/>
          <w:i w:val="false"/>
          <w:color w:val="000000"/>
          <w:sz w:val="28"/>
        </w:rPr>
        <w:t xml:space="preserve">       в отношении _________организаций публичного интереса__________________ </w:t>
      </w:r>
    </w:p>
    <w:p>
      <w:pPr>
        <w:spacing w:after="0"/>
        <w:ind w:left="0"/>
        <w:jc w:val="both"/>
      </w:pPr>
      <w:r>
        <w:rPr>
          <w:rFonts w:ascii="Times New Roman"/>
          <w:b w:val="false"/>
          <w:i w:val="false"/>
          <w:color w:val="000000"/>
          <w:sz w:val="28"/>
        </w:rPr>
        <w:t xml:space="preserve">                               наименование однородной группы</w:t>
      </w:r>
    </w:p>
    <w:p>
      <w:pPr>
        <w:spacing w:after="0"/>
        <w:ind w:left="0"/>
        <w:jc w:val="both"/>
      </w:pPr>
      <w:r>
        <w:rPr>
          <w:rFonts w:ascii="Times New Roman"/>
          <w:b w:val="false"/>
          <w:i w:val="false"/>
          <w:color w:val="000000"/>
          <w:sz w:val="28"/>
        </w:rPr>
        <w:t xml:space="preserve">       _________________(за исключением финансовых организаций)_____________ </w:t>
      </w:r>
    </w:p>
    <w:p>
      <w:pPr>
        <w:spacing w:after="0"/>
        <w:ind w:left="0"/>
        <w:jc w:val="both"/>
      </w:pPr>
      <w:r>
        <w:rPr>
          <w:rFonts w:ascii="Times New Roman"/>
          <w:b w:val="false"/>
          <w:i w:val="false"/>
          <w:color w:val="000000"/>
          <w:sz w:val="28"/>
        </w:rPr>
        <w:t xml:space="preserve">                               субъектов (объектов)контроля</w:t>
      </w:r>
    </w:p>
    <w:p>
      <w:pPr>
        <w:spacing w:after="0"/>
        <w:ind w:left="0"/>
        <w:jc w:val="both"/>
      </w:pPr>
      <w:r>
        <w:rPr>
          <w:rFonts w:ascii="Times New Roman"/>
          <w:b w:val="false"/>
          <w:i w:val="false"/>
          <w:color w:val="000000"/>
          <w:sz w:val="28"/>
        </w:rPr>
        <w:t xml:space="preserve">       Государственный орган, назначивший проверку/профилактического контроля с </w:t>
      </w:r>
    </w:p>
    <w:p>
      <w:pPr>
        <w:spacing w:after="0"/>
        <w:ind w:left="0"/>
        <w:jc w:val="both"/>
      </w:pPr>
      <w:r>
        <w:rPr>
          <w:rFonts w:ascii="Times New Roman"/>
          <w:b w:val="false"/>
          <w:i w:val="false"/>
          <w:color w:val="000000"/>
          <w:sz w:val="28"/>
        </w:rPr>
        <w:t xml:space="preserve">       посещением субъекта (объекта) контроля 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Акт о назначении проверки/профилактического контроля с посещением субъекта </w:t>
      </w:r>
    </w:p>
    <w:p>
      <w:pPr>
        <w:spacing w:after="0"/>
        <w:ind w:left="0"/>
        <w:jc w:val="both"/>
      </w:pPr>
      <w:r>
        <w:rPr>
          <w:rFonts w:ascii="Times New Roman"/>
          <w:b w:val="false"/>
          <w:i w:val="false"/>
          <w:color w:val="000000"/>
          <w:sz w:val="28"/>
        </w:rPr>
        <w:t xml:space="preserve">       (объекта) контроля ___________________________________________</w:t>
      </w:r>
    </w:p>
    <w:p>
      <w:pPr>
        <w:spacing w:after="0"/>
        <w:ind w:left="0"/>
        <w:jc w:val="both"/>
      </w:pPr>
      <w:r>
        <w:rPr>
          <w:rFonts w:ascii="Times New Roman"/>
          <w:b w:val="false"/>
          <w:i w:val="false"/>
          <w:color w:val="000000"/>
          <w:sz w:val="28"/>
        </w:rPr>
        <w:t xml:space="preserve">                                           дата № </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Наименование субъекта (объекта) контроля 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(Индивидуальный идентификационный номер), бизнес-идентификационный номер </w:t>
      </w:r>
    </w:p>
    <w:p>
      <w:pPr>
        <w:spacing w:after="0"/>
        <w:ind w:left="0"/>
        <w:jc w:val="both"/>
      </w:pPr>
      <w:r>
        <w:rPr>
          <w:rFonts w:ascii="Times New Roman"/>
          <w:b w:val="false"/>
          <w:i w:val="false"/>
          <w:color w:val="000000"/>
          <w:sz w:val="28"/>
        </w:rPr>
        <w:t xml:space="preserve">       субъекта (объекта) контроля ______________________________________</w:t>
      </w:r>
    </w:p>
    <w:p>
      <w:pPr>
        <w:spacing w:after="0"/>
        <w:ind w:left="0"/>
        <w:jc w:val="both"/>
      </w:pPr>
      <w:r>
        <w:rPr>
          <w:rFonts w:ascii="Times New Roman"/>
          <w:b w:val="false"/>
          <w:i w:val="false"/>
          <w:color w:val="000000"/>
          <w:sz w:val="28"/>
        </w:rPr>
        <w:t xml:space="preserve">       Адрес места нахождения_______________________________________________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достоверной, не искаженной финансовой отчетности, не сокрытие данных, подлежащих отражению в бухгалтерском учете, а равно не уничтожение бухгалтерской документации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финансовой отчетности без нарушения установленного срока либо непредставление ее с уважительной причиной учредителям (участникам) организаций в соответствии с учредительными документами, уполномоченному органу в области государственной статистики по месту регистрации, органам государственного контроля и в депозитарий финансовой отчетности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главного бухгалтера организаций публичного интереса сертификата профессионального бухгалтера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Подписание финансовой отчетности главным бухгалтером организации публичного интереса, являющимся профессиональным бухгалтером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Неразглашение бухгалтерской информации, составляющей коммерческую тайну, лицами, имеющими доступ к ней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39" w:id="101"/>
      <w:r>
        <w:rPr>
          <w:rFonts w:ascii="Times New Roman"/>
          <w:b w:val="false"/>
          <w:i w:val="false"/>
          <w:color w:val="000000"/>
          <w:sz w:val="28"/>
        </w:rPr>
        <w:t xml:space="preserve">
      Должностное (ые) лицо (а) _______________________________       _____________ </w:t>
      </w:r>
    </w:p>
    <w:bookmarkEnd w:id="101"/>
    <w:p>
      <w:pPr>
        <w:spacing w:after="0"/>
        <w:ind w:left="0"/>
        <w:jc w:val="both"/>
      </w:pPr>
      <w:r>
        <w:rPr>
          <w:rFonts w:ascii="Times New Roman"/>
          <w:b w:val="false"/>
          <w:i w:val="false"/>
          <w:color w:val="000000"/>
          <w:sz w:val="28"/>
        </w:rPr>
        <w:t xml:space="preserve">                                     должность                         подпись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фамилия, имя, отчество (при наличии)</w:t>
      </w:r>
    </w:p>
    <w:p>
      <w:pPr>
        <w:spacing w:after="0"/>
        <w:ind w:left="0"/>
        <w:jc w:val="both"/>
      </w:pPr>
      <w:r>
        <w:rPr>
          <w:rFonts w:ascii="Times New Roman"/>
          <w:b w:val="false"/>
          <w:i w:val="false"/>
          <w:color w:val="000000"/>
          <w:sz w:val="28"/>
        </w:rPr>
        <w:t xml:space="preserve">       Руководитель субъекта контроля __________________________       _____________ </w:t>
      </w:r>
    </w:p>
    <w:p>
      <w:pPr>
        <w:spacing w:after="0"/>
        <w:ind w:left="0"/>
        <w:jc w:val="both"/>
      </w:pPr>
      <w:r>
        <w:rPr>
          <w:rFonts w:ascii="Times New Roman"/>
          <w:b w:val="false"/>
          <w:i w:val="false"/>
          <w:color w:val="000000"/>
          <w:sz w:val="28"/>
        </w:rPr>
        <w:t xml:space="preserve">                                           должность                   подпись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совместному приказу</w:t>
            </w:r>
            <w:r>
              <w:br/>
            </w:r>
            <w:r>
              <w:rPr>
                <w:rFonts w:ascii="Times New Roman"/>
                <w:b w:val="false"/>
                <w:i w:val="false"/>
                <w:color w:val="000000"/>
                <w:sz w:val="20"/>
              </w:rPr>
              <w:t xml:space="preserve">Министра национальной </w:t>
            </w:r>
            <w:r>
              <w:br/>
            </w:r>
            <w:r>
              <w:rPr>
                <w:rFonts w:ascii="Times New Roman"/>
                <w:b w:val="false"/>
                <w:i w:val="false"/>
                <w:color w:val="000000"/>
                <w:sz w:val="20"/>
              </w:rPr>
              <w:t>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декабря 2022 года № 128 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Заместителя Премьер-Министра </w:t>
            </w:r>
            <w:r>
              <w:br/>
            </w:r>
            <w:r>
              <w:rPr>
                <w:rFonts w:ascii="Times New Roman"/>
                <w:b w:val="false"/>
                <w:i w:val="false"/>
                <w:color w:val="000000"/>
                <w:sz w:val="20"/>
              </w:rPr>
              <w:t>-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декабря 2022 года № 1284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 апреля 2021 года № 298 и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21 апреля 2021 года № 45</w:t>
            </w:r>
          </w:p>
        </w:tc>
      </w:tr>
    </w:tbl>
    <w:bookmarkStart w:name="z143" w:id="102"/>
    <w:p>
      <w:pPr>
        <w:spacing w:after="0"/>
        <w:ind w:left="0"/>
        <w:jc w:val="left"/>
      </w:pPr>
      <w:r>
        <w:rPr>
          <w:rFonts w:ascii="Times New Roman"/>
          <w:b/>
          <w:i w:val="false"/>
          <w:color w:val="000000"/>
        </w:rPr>
        <w:t xml:space="preserve"> Проверочный лист</w:t>
      </w:r>
    </w:p>
    <w:bookmarkEnd w:id="102"/>
    <w:p>
      <w:pPr>
        <w:spacing w:after="0"/>
        <w:ind w:left="0"/>
        <w:jc w:val="both"/>
      </w:pPr>
      <w:bookmarkStart w:name="z144" w:id="103"/>
      <w:r>
        <w:rPr>
          <w:rFonts w:ascii="Times New Roman"/>
          <w:b w:val="false"/>
          <w:i w:val="false"/>
          <w:color w:val="000000"/>
          <w:sz w:val="28"/>
        </w:rPr>
        <w:t xml:space="preserve">
      _________в области бухгалтерского учета и финансовой отчетности___________ в </w:t>
      </w:r>
    </w:p>
    <w:bookmarkEnd w:id="103"/>
    <w:p>
      <w:pPr>
        <w:spacing w:after="0"/>
        <w:ind w:left="0"/>
        <w:jc w:val="both"/>
      </w:pPr>
      <w:r>
        <w:rPr>
          <w:rFonts w:ascii="Times New Roman"/>
          <w:b w:val="false"/>
          <w:i w:val="false"/>
          <w:color w:val="000000"/>
          <w:sz w:val="28"/>
        </w:rPr>
        <w:t xml:space="preserve">                               соответствии со </w:t>
      </w:r>
      <w:r>
        <w:rPr>
          <w:rFonts w:ascii="Times New Roman"/>
          <w:b w:val="false"/>
          <w:i w:val="false"/>
          <w:color w:val="000000"/>
          <w:sz w:val="28"/>
        </w:rPr>
        <w:t>статьей 138</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Предпринимательского кодекса Республики Казахстан</w:t>
      </w:r>
    </w:p>
    <w:p>
      <w:pPr>
        <w:spacing w:after="0"/>
        <w:ind w:left="0"/>
        <w:jc w:val="both"/>
      </w:pPr>
      <w:r>
        <w:rPr>
          <w:rFonts w:ascii="Times New Roman"/>
          <w:b w:val="false"/>
          <w:i w:val="false"/>
          <w:color w:val="000000"/>
          <w:sz w:val="28"/>
        </w:rPr>
        <w:t xml:space="preserve">       в отношении__аккредитованных профессиональных организаций бухгалтеров__ </w:t>
      </w:r>
    </w:p>
    <w:p>
      <w:pPr>
        <w:spacing w:after="0"/>
        <w:ind w:left="0"/>
        <w:jc w:val="both"/>
      </w:pPr>
      <w:r>
        <w:rPr>
          <w:rFonts w:ascii="Times New Roman"/>
          <w:b w:val="false"/>
          <w:i w:val="false"/>
          <w:color w:val="000000"/>
          <w:sz w:val="28"/>
        </w:rPr>
        <w:t xml:space="preserve">       наименование однородной группы субъектов (объектов)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контроля</w:t>
      </w:r>
    </w:p>
    <w:p>
      <w:pPr>
        <w:spacing w:after="0"/>
        <w:ind w:left="0"/>
        <w:jc w:val="both"/>
      </w:pPr>
      <w:r>
        <w:rPr>
          <w:rFonts w:ascii="Times New Roman"/>
          <w:b w:val="false"/>
          <w:i w:val="false"/>
          <w:color w:val="000000"/>
          <w:sz w:val="28"/>
        </w:rPr>
        <w:t xml:space="preserve">       Государственный орган, назначивший проверку/профилактического контроля с </w:t>
      </w:r>
    </w:p>
    <w:p>
      <w:pPr>
        <w:spacing w:after="0"/>
        <w:ind w:left="0"/>
        <w:jc w:val="both"/>
      </w:pPr>
      <w:r>
        <w:rPr>
          <w:rFonts w:ascii="Times New Roman"/>
          <w:b w:val="false"/>
          <w:i w:val="false"/>
          <w:color w:val="000000"/>
          <w:sz w:val="28"/>
        </w:rPr>
        <w:t xml:space="preserve">       посещением субъекта (объекта) контроля 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w:t>
      </w:r>
    </w:p>
    <w:p>
      <w:pPr>
        <w:spacing w:after="0"/>
        <w:ind w:left="0"/>
        <w:jc w:val="both"/>
      </w:pPr>
      <w:r>
        <w:rPr>
          <w:rFonts w:ascii="Times New Roman"/>
          <w:b w:val="false"/>
          <w:i w:val="false"/>
          <w:color w:val="000000"/>
          <w:sz w:val="28"/>
        </w:rPr>
        <w:t xml:space="preserve">       Акт о назначении проверки/профилактического контроля с посещением субъекта </w:t>
      </w:r>
    </w:p>
    <w:p>
      <w:pPr>
        <w:spacing w:after="0"/>
        <w:ind w:left="0"/>
        <w:jc w:val="both"/>
      </w:pPr>
      <w:r>
        <w:rPr>
          <w:rFonts w:ascii="Times New Roman"/>
          <w:b w:val="false"/>
          <w:i w:val="false"/>
          <w:color w:val="000000"/>
          <w:sz w:val="28"/>
        </w:rPr>
        <w:t xml:space="preserve">       (объекта) контроля ____________________________________________</w:t>
      </w:r>
    </w:p>
    <w:p>
      <w:pPr>
        <w:spacing w:after="0"/>
        <w:ind w:left="0"/>
        <w:jc w:val="both"/>
      </w:pPr>
      <w:r>
        <w:rPr>
          <w:rFonts w:ascii="Times New Roman"/>
          <w:b w:val="false"/>
          <w:i w:val="false"/>
          <w:color w:val="000000"/>
          <w:sz w:val="28"/>
        </w:rPr>
        <w:t xml:space="preserve">                                           дата № </w:t>
      </w:r>
    </w:p>
    <w:p>
      <w:pPr>
        <w:spacing w:after="0"/>
        <w:ind w:left="0"/>
        <w:jc w:val="both"/>
      </w:pPr>
      <w:r>
        <w:rPr>
          <w:rFonts w:ascii="Times New Roman"/>
          <w:b w:val="false"/>
          <w:i w:val="false"/>
          <w:color w:val="000000"/>
          <w:sz w:val="28"/>
        </w:rPr>
        <w:t xml:space="preserve">       _____________________________________________________________________</w:t>
      </w:r>
    </w:p>
    <w:p>
      <w:pPr>
        <w:spacing w:after="0"/>
        <w:ind w:left="0"/>
        <w:jc w:val="both"/>
      </w:pPr>
      <w:r>
        <w:rPr>
          <w:rFonts w:ascii="Times New Roman"/>
          <w:b w:val="false"/>
          <w:i w:val="false"/>
          <w:color w:val="000000"/>
          <w:sz w:val="28"/>
        </w:rPr>
        <w:t xml:space="preserve">       Наименование субъекта (объекта) контроля 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(Индивидуальный идентификационный номер), бизнес-идентификационный номер </w:t>
      </w:r>
    </w:p>
    <w:p>
      <w:pPr>
        <w:spacing w:after="0"/>
        <w:ind w:left="0"/>
        <w:jc w:val="both"/>
      </w:pPr>
      <w:r>
        <w:rPr>
          <w:rFonts w:ascii="Times New Roman"/>
          <w:b w:val="false"/>
          <w:i w:val="false"/>
          <w:color w:val="000000"/>
          <w:sz w:val="28"/>
        </w:rPr>
        <w:t xml:space="preserve">       субъекта (объекта) контроля ______________________________________</w:t>
      </w:r>
    </w:p>
    <w:p>
      <w:pPr>
        <w:spacing w:after="0"/>
        <w:ind w:left="0"/>
        <w:jc w:val="both"/>
      </w:pPr>
      <w:r>
        <w:rPr>
          <w:rFonts w:ascii="Times New Roman"/>
          <w:b w:val="false"/>
          <w:i w:val="false"/>
          <w:color w:val="000000"/>
          <w:sz w:val="28"/>
        </w:rPr>
        <w:t xml:space="preserve">       Адрес места нахождения 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течение одного месяца с момента аккредитации профессиональной организации бухгалтеров представление в состав Консультативного органа одного представителя с подтверждением опыта работы не менее семи лет в сфере бухгалтерской и (или) аудиторской деятельности, наличие полной квалификации The Association of Chartered Certified Accountants (ACCA) (Зэ Исоушиэйшн оф Чартерд Сертифаид Экаунтэнтс) (ЭЙСИСИЭЙ), либо Certified Public Accountant (CPA) (Сертифаид Паблик Экаунтэнт) (СИПИЭЙ), либо Диплома Diploma in the International Financial Reporting (DipIFR ACCA) (Диплоумэ ин зэ Интернашнэл Файнаншл Рипортин) (ДИайпиАЙЭФАР ЭЙСИСИЭЙ), либо квалификационного свидетельства о присвоении квалификации "аудитор", либо сертификата профессионального бухгалтера, либо (ученой) степени в области экономики, финансов, бухгалтерского учета, аудита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соглашения о взаимодействии с одной или несколькими аккредитованными организациями по профессиональной сертификации бухгалтеров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в уполномоченный орган отчета о количестве бухгалтеров, профессиональных бухгалтеров и бухгалтерских организаций, вступивших (выбывших) в аккредитованную профессиональную организацию бухгалтеров, в срок до 15 марта года, следующего за отчетным годом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в уполномоченный орган отчета о повышении квалификации членов аккредитованной профессиональной организации бухгалтеров, в срок до 15 марта года, следующего за отчетным годом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в уполномоченный орган отчета о сотрудничестве с международными организациями в области бухгалтерского учета и отчетности в срок до 15 марта года, следующего за отчетным годом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в уполномоченный орган отчета об изменении структуры рабочих органов аккредитованной профессиональной организации бухгалтеров в срок до 15 марта года, следующего за отчетным годом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Прохождение процедуры аккредитации при изменении наименования, организационно-правовой формы, реорганизации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свидетельства об аккредитации профессиональной организации бухгалтеров при изменении юридического адреса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45" w:id="104"/>
      <w:r>
        <w:rPr>
          <w:rFonts w:ascii="Times New Roman"/>
          <w:b w:val="false"/>
          <w:i w:val="false"/>
          <w:color w:val="000000"/>
          <w:sz w:val="28"/>
        </w:rPr>
        <w:t xml:space="preserve">
      Должностное (ые) лицо (а) _______________________________       ____________ </w:t>
      </w:r>
    </w:p>
    <w:bookmarkEnd w:id="104"/>
    <w:p>
      <w:pPr>
        <w:spacing w:after="0"/>
        <w:ind w:left="0"/>
        <w:jc w:val="both"/>
      </w:pPr>
      <w:r>
        <w:rPr>
          <w:rFonts w:ascii="Times New Roman"/>
          <w:b w:val="false"/>
          <w:i w:val="false"/>
          <w:color w:val="000000"/>
          <w:sz w:val="28"/>
        </w:rPr>
        <w:t xml:space="preserve">                                     должность                         подпись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фамилия, имя, отчество (при наличии)</w:t>
      </w:r>
    </w:p>
    <w:p>
      <w:pPr>
        <w:spacing w:after="0"/>
        <w:ind w:left="0"/>
        <w:jc w:val="both"/>
      </w:pPr>
      <w:r>
        <w:rPr>
          <w:rFonts w:ascii="Times New Roman"/>
          <w:b w:val="false"/>
          <w:i w:val="false"/>
          <w:color w:val="000000"/>
          <w:sz w:val="28"/>
        </w:rPr>
        <w:t xml:space="preserve">       Руководитель субъекта контроля __________________________       ____________ </w:t>
      </w:r>
    </w:p>
    <w:p>
      <w:pPr>
        <w:spacing w:after="0"/>
        <w:ind w:left="0"/>
        <w:jc w:val="both"/>
      </w:pPr>
      <w:r>
        <w:rPr>
          <w:rFonts w:ascii="Times New Roman"/>
          <w:b w:val="false"/>
          <w:i w:val="false"/>
          <w:color w:val="000000"/>
          <w:sz w:val="28"/>
        </w:rPr>
        <w:t xml:space="preserve">                                     должность                         подпись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совместному приказу</w:t>
            </w:r>
            <w:r>
              <w:br/>
            </w:r>
            <w:r>
              <w:rPr>
                <w:rFonts w:ascii="Times New Roman"/>
                <w:b w:val="false"/>
                <w:i w:val="false"/>
                <w:color w:val="000000"/>
                <w:sz w:val="20"/>
              </w:rPr>
              <w:t xml:space="preserve">Министра национальной </w:t>
            </w:r>
            <w:r>
              <w:br/>
            </w:r>
            <w:r>
              <w:rPr>
                <w:rFonts w:ascii="Times New Roman"/>
                <w:b w:val="false"/>
                <w:i w:val="false"/>
                <w:color w:val="000000"/>
                <w:sz w:val="20"/>
              </w:rPr>
              <w:t>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декабря 2022 года № 128 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Заместителя Премьер-Министра </w:t>
            </w:r>
            <w:r>
              <w:br/>
            </w:r>
            <w:r>
              <w:rPr>
                <w:rFonts w:ascii="Times New Roman"/>
                <w:b w:val="false"/>
                <w:i w:val="false"/>
                <w:color w:val="000000"/>
                <w:sz w:val="20"/>
              </w:rPr>
              <w:t>-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декабря 2022 года № 1284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 апреля 2021 года № 298 и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21 апреля 2021 года № 45</w:t>
            </w:r>
          </w:p>
        </w:tc>
      </w:tr>
    </w:tbl>
    <w:bookmarkStart w:name="z149" w:id="105"/>
    <w:p>
      <w:pPr>
        <w:spacing w:after="0"/>
        <w:ind w:left="0"/>
        <w:jc w:val="left"/>
      </w:pPr>
      <w:r>
        <w:rPr>
          <w:rFonts w:ascii="Times New Roman"/>
          <w:b/>
          <w:i w:val="false"/>
          <w:color w:val="000000"/>
        </w:rPr>
        <w:t xml:space="preserve"> Проверочный лист</w:t>
      </w:r>
    </w:p>
    <w:bookmarkEnd w:id="105"/>
    <w:p>
      <w:pPr>
        <w:spacing w:after="0"/>
        <w:ind w:left="0"/>
        <w:jc w:val="both"/>
      </w:pPr>
      <w:bookmarkStart w:name="z150" w:id="106"/>
      <w:r>
        <w:rPr>
          <w:rFonts w:ascii="Times New Roman"/>
          <w:b w:val="false"/>
          <w:i w:val="false"/>
          <w:color w:val="000000"/>
          <w:sz w:val="28"/>
        </w:rPr>
        <w:t>
      __________в области бухгалтерского учета и финансовой отчетности__________ в</w:t>
      </w:r>
    </w:p>
    <w:bookmarkEnd w:id="106"/>
    <w:p>
      <w:pPr>
        <w:spacing w:after="0"/>
        <w:ind w:left="0"/>
        <w:jc w:val="both"/>
      </w:pPr>
      <w:r>
        <w:rPr>
          <w:rFonts w:ascii="Times New Roman"/>
          <w:b w:val="false"/>
          <w:i w:val="false"/>
          <w:color w:val="000000"/>
          <w:sz w:val="28"/>
        </w:rPr>
        <w:t xml:space="preserve">                               соответствии со </w:t>
      </w:r>
      <w:r>
        <w:rPr>
          <w:rFonts w:ascii="Times New Roman"/>
          <w:b w:val="false"/>
          <w:i w:val="false"/>
          <w:color w:val="000000"/>
          <w:sz w:val="28"/>
        </w:rPr>
        <w:t>статьей 138</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Предпринимательского кодекса Республики Казахстан</w:t>
      </w:r>
    </w:p>
    <w:p>
      <w:pPr>
        <w:spacing w:after="0"/>
        <w:ind w:left="0"/>
        <w:jc w:val="both"/>
      </w:pPr>
      <w:r>
        <w:rPr>
          <w:rFonts w:ascii="Times New Roman"/>
          <w:b w:val="false"/>
          <w:i w:val="false"/>
          <w:color w:val="000000"/>
          <w:sz w:val="28"/>
        </w:rPr>
        <w:t xml:space="preserve">       в отношении__аккредитованных профессиональных организаций бухгалтеров__ </w:t>
      </w:r>
    </w:p>
    <w:p>
      <w:pPr>
        <w:spacing w:after="0"/>
        <w:ind w:left="0"/>
        <w:jc w:val="both"/>
      </w:pPr>
      <w:r>
        <w:rPr>
          <w:rFonts w:ascii="Times New Roman"/>
          <w:b w:val="false"/>
          <w:i w:val="false"/>
          <w:color w:val="000000"/>
          <w:sz w:val="28"/>
        </w:rPr>
        <w:t xml:space="preserve">       наименование однородной группы субъектов (объектов)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контроля</w:t>
      </w:r>
    </w:p>
    <w:p>
      <w:pPr>
        <w:spacing w:after="0"/>
        <w:ind w:left="0"/>
        <w:jc w:val="both"/>
      </w:pPr>
      <w:r>
        <w:rPr>
          <w:rFonts w:ascii="Times New Roman"/>
          <w:b w:val="false"/>
          <w:i w:val="false"/>
          <w:color w:val="000000"/>
          <w:sz w:val="28"/>
        </w:rPr>
        <w:t xml:space="preserve">       Государственный орган, назначивший проверку субъекта (объекта) контроля </w:t>
      </w:r>
    </w:p>
    <w:p>
      <w:pPr>
        <w:spacing w:after="0"/>
        <w:ind w:left="0"/>
        <w:jc w:val="both"/>
      </w:pPr>
      <w:r>
        <w:rPr>
          <w:rFonts w:ascii="Times New Roman"/>
          <w:b w:val="false"/>
          <w:i w:val="false"/>
          <w:color w:val="000000"/>
          <w:sz w:val="28"/>
        </w:rPr>
        <w:t xml:space="preserve">       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w:t>
      </w:r>
    </w:p>
    <w:p>
      <w:pPr>
        <w:spacing w:after="0"/>
        <w:ind w:left="0"/>
        <w:jc w:val="both"/>
      </w:pPr>
      <w:r>
        <w:rPr>
          <w:rFonts w:ascii="Times New Roman"/>
          <w:b w:val="false"/>
          <w:i w:val="false"/>
          <w:color w:val="000000"/>
          <w:sz w:val="28"/>
        </w:rPr>
        <w:t xml:space="preserve">       Акт о назначении проверки субъекта (объекта) контроля __________________</w:t>
      </w:r>
    </w:p>
    <w:p>
      <w:pPr>
        <w:spacing w:after="0"/>
        <w:ind w:left="0"/>
        <w:jc w:val="both"/>
      </w:pPr>
      <w:r>
        <w:rPr>
          <w:rFonts w:ascii="Times New Roman"/>
          <w:b w:val="false"/>
          <w:i w:val="false"/>
          <w:color w:val="000000"/>
          <w:sz w:val="28"/>
        </w:rPr>
        <w:t xml:space="preserve">                                                             дата № </w:t>
      </w:r>
    </w:p>
    <w:p>
      <w:pPr>
        <w:spacing w:after="0"/>
        <w:ind w:left="0"/>
        <w:jc w:val="both"/>
      </w:pPr>
      <w:r>
        <w:rPr>
          <w:rFonts w:ascii="Times New Roman"/>
          <w:b w:val="false"/>
          <w:i w:val="false"/>
          <w:color w:val="000000"/>
          <w:sz w:val="28"/>
        </w:rPr>
        <w:t xml:space="preserve">       _____________________________________________________________________</w:t>
      </w:r>
    </w:p>
    <w:p>
      <w:pPr>
        <w:spacing w:after="0"/>
        <w:ind w:left="0"/>
        <w:jc w:val="both"/>
      </w:pPr>
      <w:r>
        <w:rPr>
          <w:rFonts w:ascii="Times New Roman"/>
          <w:b w:val="false"/>
          <w:i w:val="false"/>
          <w:color w:val="000000"/>
          <w:sz w:val="28"/>
        </w:rPr>
        <w:t xml:space="preserve">       Наименование субъекта (объекта) контроля 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w:t>
      </w:r>
    </w:p>
    <w:p>
      <w:pPr>
        <w:spacing w:after="0"/>
        <w:ind w:left="0"/>
        <w:jc w:val="both"/>
      </w:pPr>
      <w:r>
        <w:rPr>
          <w:rFonts w:ascii="Times New Roman"/>
          <w:b w:val="false"/>
          <w:i w:val="false"/>
          <w:color w:val="000000"/>
          <w:sz w:val="28"/>
        </w:rPr>
        <w:t xml:space="preserve">       (Индивидуальный идентификационный номер), бизнес-идентификационный номер </w:t>
      </w:r>
    </w:p>
    <w:p>
      <w:pPr>
        <w:spacing w:after="0"/>
        <w:ind w:left="0"/>
        <w:jc w:val="both"/>
      </w:pPr>
      <w:r>
        <w:rPr>
          <w:rFonts w:ascii="Times New Roman"/>
          <w:b w:val="false"/>
          <w:i w:val="false"/>
          <w:color w:val="000000"/>
          <w:sz w:val="28"/>
        </w:rPr>
        <w:t xml:space="preserve">       субъекта (объекта) контроля ______________________________________</w:t>
      </w:r>
    </w:p>
    <w:p>
      <w:pPr>
        <w:spacing w:after="0"/>
        <w:ind w:left="0"/>
        <w:jc w:val="both"/>
      </w:pPr>
      <w:r>
        <w:rPr>
          <w:rFonts w:ascii="Times New Roman"/>
          <w:b w:val="false"/>
          <w:i w:val="false"/>
          <w:color w:val="000000"/>
          <w:sz w:val="28"/>
        </w:rPr>
        <w:t xml:space="preserve">       Адрес места нахождения 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составе профессиональной организации не менее трехсот профессиональных бухгалтеров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07"/>
          <w:p>
            <w:pPr>
              <w:spacing w:after="20"/>
              <w:ind w:left="20"/>
              <w:jc w:val="both"/>
            </w:pPr>
            <w:r>
              <w:rPr>
                <w:rFonts w:ascii="Times New Roman"/>
                <w:b w:val="false"/>
                <w:i w:val="false"/>
                <w:color w:val="000000"/>
                <w:sz w:val="20"/>
              </w:rPr>
              <w:t>
Наличие рабочих органов:</w:t>
            </w:r>
          </w:p>
          <w:bookmarkEnd w:id="107"/>
          <w:p>
            <w:pPr>
              <w:spacing w:after="20"/>
              <w:ind w:left="20"/>
              <w:jc w:val="both"/>
            </w:pPr>
            <w:r>
              <w:rPr>
                <w:rFonts w:ascii="Times New Roman"/>
                <w:b w:val="false"/>
                <w:i w:val="false"/>
                <w:color w:val="000000"/>
                <w:sz w:val="20"/>
              </w:rPr>
              <w:t>
</w:t>
            </w:r>
            <w:r>
              <w:rPr>
                <w:rFonts w:ascii="Times New Roman"/>
                <w:b w:val="false"/>
                <w:i w:val="false"/>
                <w:color w:val="000000"/>
                <w:sz w:val="20"/>
              </w:rPr>
              <w:t>1) по международным стандартам финансовой отчетности;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 по повышению квалификации бухгалтеров;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по вопросам этики;</w:t>
            </w:r>
          </w:p>
          <w:p>
            <w:pPr>
              <w:spacing w:after="20"/>
              <w:ind w:left="20"/>
              <w:jc w:val="both"/>
            </w:pPr>
            <w:r>
              <w:rPr>
                <w:rFonts w:ascii="Times New Roman"/>
                <w:b w:val="false"/>
                <w:i w:val="false"/>
                <w:color w:val="000000"/>
                <w:sz w:val="20"/>
              </w:rPr>
              <w:t>
4) по рассмотрению споров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системы повышения квалификации своих членов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55" w:id="108"/>
      <w:r>
        <w:rPr>
          <w:rFonts w:ascii="Times New Roman"/>
          <w:b w:val="false"/>
          <w:i w:val="false"/>
          <w:color w:val="000000"/>
          <w:sz w:val="28"/>
        </w:rPr>
        <w:t xml:space="preserve">
      Должностное (ые) лицо (а) _______________________________       ____________ </w:t>
      </w:r>
    </w:p>
    <w:bookmarkEnd w:id="108"/>
    <w:p>
      <w:pPr>
        <w:spacing w:after="0"/>
        <w:ind w:left="0"/>
        <w:jc w:val="both"/>
      </w:pPr>
      <w:r>
        <w:rPr>
          <w:rFonts w:ascii="Times New Roman"/>
          <w:b w:val="false"/>
          <w:i w:val="false"/>
          <w:color w:val="000000"/>
          <w:sz w:val="28"/>
        </w:rPr>
        <w:t xml:space="preserve">                               должность                               подпись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фамилия, имя, отчество (при наличии)</w:t>
      </w:r>
    </w:p>
    <w:p>
      <w:pPr>
        <w:spacing w:after="0"/>
        <w:ind w:left="0"/>
        <w:jc w:val="both"/>
      </w:pPr>
      <w:r>
        <w:rPr>
          <w:rFonts w:ascii="Times New Roman"/>
          <w:b w:val="false"/>
          <w:i w:val="false"/>
          <w:color w:val="000000"/>
          <w:sz w:val="28"/>
        </w:rPr>
        <w:t xml:space="preserve">       Руководитель субъекта контроля __________________________       ____________ </w:t>
      </w:r>
    </w:p>
    <w:p>
      <w:pPr>
        <w:spacing w:after="0"/>
        <w:ind w:left="0"/>
        <w:jc w:val="both"/>
      </w:pPr>
      <w:r>
        <w:rPr>
          <w:rFonts w:ascii="Times New Roman"/>
          <w:b w:val="false"/>
          <w:i w:val="false"/>
          <w:color w:val="000000"/>
          <w:sz w:val="28"/>
        </w:rPr>
        <w:t xml:space="preserve">                                     должность                         подпись</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совместному приказу</w:t>
            </w:r>
            <w:r>
              <w:br/>
            </w:r>
            <w:r>
              <w:rPr>
                <w:rFonts w:ascii="Times New Roman"/>
                <w:b w:val="false"/>
                <w:i w:val="false"/>
                <w:color w:val="000000"/>
                <w:sz w:val="20"/>
              </w:rPr>
              <w:t xml:space="preserve">Министра национальной </w:t>
            </w:r>
            <w:r>
              <w:br/>
            </w:r>
            <w:r>
              <w:rPr>
                <w:rFonts w:ascii="Times New Roman"/>
                <w:b w:val="false"/>
                <w:i w:val="false"/>
                <w:color w:val="000000"/>
                <w:sz w:val="20"/>
              </w:rPr>
              <w:t>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декабря 2022 года № 128 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Заместителя Премьер-Министра </w:t>
            </w:r>
            <w:r>
              <w:br/>
            </w:r>
            <w:r>
              <w:rPr>
                <w:rFonts w:ascii="Times New Roman"/>
                <w:b w:val="false"/>
                <w:i w:val="false"/>
                <w:color w:val="000000"/>
                <w:sz w:val="20"/>
              </w:rPr>
              <w:t>-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декабря 2022 года № 1284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 апреля 2021 года № 298 и Министра национальной </w:t>
            </w:r>
            <w:r>
              <w:br/>
            </w:r>
            <w:r>
              <w:rPr>
                <w:rFonts w:ascii="Times New Roman"/>
                <w:b w:val="false"/>
                <w:i w:val="false"/>
                <w:color w:val="000000"/>
                <w:sz w:val="20"/>
              </w:rPr>
              <w:t>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21 апреля 2021 года № 45</w:t>
            </w:r>
          </w:p>
        </w:tc>
      </w:tr>
    </w:tbl>
    <w:bookmarkStart w:name="z159" w:id="109"/>
    <w:p>
      <w:pPr>
        <w:spacing w:after="0"/>
        <w:ind w:left="0"/>
        <w:jc w:val="left"/>
      </w:pPr>
      <w:r>
        <w:rPr>
          <w:rFonts w:ascii="Times New Roman"/>
          <w:b/>
          <w:i w:val="false"/>
          <w:color w:val="000000"/>
        </w:rPr>
        <w:t xml:space="preserve"> Проверочный лист </w:t>
      </w:r>
    </w:p>
    <w:bookmarkEnd w:id="109"/>
    <w:p>
      <w:pPr>
        <w:spacing w:after="0"/>
        <w:ind w:left="0"/>
        <w:jc w:val="both"/>
      </w:pPr>
      <w:bookmarkStart w:name="z160" w:id="110"/>
      <w:r>
        <w:rPr>
          <w:rFonts w:ascii="Times New Roman"/>
          <w:b w:val="false"/>
          <w:i w:val="false"/>
          <w:color w:val="000000"/>
          <w:sz w:val="28"/>
        </w:rPr>
        <w:t xml:space="preserve">
      _________в области бухгалтерского учета и финансовой отчетности__________ в </w:t>
      </w:r>
    </w:p>
    <w:bookmarkEnd w:id="110"/>
    <w:p>
      <w:pPr>
        <w:spacing w:after="0"/>
        <w:ind w:left="0"/>
        <w:jc w:val="both"/>
      </w:pPr>
      <w:r>
        <w:rPr>
          <w:rFonts w:ascii="Times New Roman"/>
          <w:b w:val="false"/>
          <w:i w:val="false"/>
          <w:color w:val="000000"/>
          <w:sz w:val="28"/>
        </w:rPr>
        <w:t xml:space="preserve">                               соответствии со </w:t>
      </w:r>
      <w:r>
        <w:rPr>
          <w:rFonts w:ascii="Times New Roman"/>
          <w:b w:val="false"/>
          <w:i w:val="false"/>
          <w:color w:val="000000"/>
          <w:sz w:val="28"/>
        </w:rPr>
        <w:t>статьей 138</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Предпринимательского кодекса Республики Казахстан</w:t>
      </w:r>
    </w:p>
    <w:p>
      <w:pPr>
        <w:spacing w:after="0"/>
        <w:ind w:left="0"/>
        <w:jc w:val="both"/>
      </w:pPr>
      <w:r>
        <w:rPr>
          <w:rFonts w:ascii="Times New Roman"/>
          <w:b w:val="false"/>
          <w:i w:val="false"/>
          <w:color w:val="000000"/>
          <w:sz w:val="28"/>
        </w:rPr>
        <w:t xml:space="preserve">       в отношении______аккредитованных организаций по профессиональной_____ </w:t>
      </w:r>
    </w:p>
    <w:p>
      <w:pPr>
        <w:spacing w:after="0"/>
        <w:ind w:left="0"/>
        <w:jc w:val="both"/>
      </w:pPr>
      <w:r>
        <w:rPr>
          <w:rFonts w:ascii="Times New Roman"/>
          <w:b w:val="false"/>
          <w:i w:val="false"/>
          <w:color w:val="000000"/>
          <w:sz w:val="28"/>
        </w:rPr>
        <w:t xml:space="preserve">       наименование однородной группы субъектов (объектов)</w:t>
      </w:r>
    </w:p>
    <w:p>
      <w:pPr>
        <w:spacing w:after="0"/>
        <w:ind w:left="0"/>
        <w:jc w:val="both"/>
      </w:pPr>
      <w:r>
        <w:rPr>
          <w:rFonts w:ascii="Times New Roman"/>
          <w:b w:val="false"/>
          <w:i w:val="false"/>
          <w:color w:val="000000"/>
          <w:sz w:val="28"/>
        </w:rPr>
        <w:t xml:space="preserve">       ___________________сертификации бухгалтеров__________________________ </w:t>
      </w:r>
    </w:p>
    <w:p>
      <w:pPr>
        <w:spacing w:after="0"/>
        <w:ind w:left="0"/>
        <w:jc w:val="both"/>
      </w:pPr>
      <w:r>
        <w:rPr>
          <w:rFonts w:ascii="Times New Roman"/>
          <w:b w:val="false"/>
          <w:i w:val="false"/>
          <w:color w:val="000000"/>
          <w:sz w:val="28"/>
        </w:rPr>
        <w:t xml:space="preserve">             контроля</w:t>
      </w:r>
    </w:p>
    <w:p>
      <w:pPr>
        <w:spacing w:after="0"/>
        <w:ind w:left="0"/>
        <w:jc w:val="both"/>
      </w:pPr>
      <w:r>
        <w:rPr>
          <w:rFonts w:ascii="Times New Roman"/>
          <w:b w:val="false"/>
          <w:i w:val="false"/>
          <w:color w:val="000000"/>
          <w:sz w:val="28"/>
        </w:rPr>
        <w:t xml:space="preserve">       Государственный орган, назначивший проверку/профилактического контроля с </w:t>
      </w:r>
    </w:p>
    <w:p>
      <w:pPr>
        <w:spacing w:after="0"/>
        <w:ind w:left="0"/>
        <w:jc w:val="both"/>
      </w:pPr>
      <w:r>
        <w:rPr>
          <w:rFonts w:ascii="Times New Roman"/>
          <w:b w:val="false"/>
          <w:i w:val="false"/>
          <w:color w:val="000000"/>
          <w:sz w:val="28"/>
        </w:rPr>
        <w:t xml:space="preserve">       посещением субъекта (объекта) контроля 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Акт о назначении проверки/профилактического контроля с посещением субъекта </w:t>
      </w:r>
    </w:p>
    <w:p>
      <w:pPr>
        <w:spacing w:after="0"/>
        <w:ind w:left="0"/>
        <w:jc w:val="both"/>
      </w:pPr>
      <w:r>
        <w:rPr>
          <w:rFonts w:ascii="Times New Roman"/>
          <w:b w:val="false"/>
          <w:i w:val="false"/>
          <w:color w:val="000000"/>
          <w:sz w:val="28"/>
        </w:rPr>
        <w:t xml:space="preserve">       (объекта) контроля ___________________________________________</w:t>
      </w:r>
    </w:p>
    <w:p>
      <w:pPr>
        <w:spacing w:after="0"/>
        <w:ind w:left="0"/>
        <w:jc w:val="both"/>
      </w:pPr>
      <w:r>
        <w:rPr>
          <w:rFonts w:ascii="Times New Roman"/>
          <w:b w:val="false"/>
          <w:i w:val="false"/>
          <w:color w:val="000000"/>
          <w:sz w:val="28"/>
        </w:rPr>
        <w:t xml:space="preserve">                                           дата № </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Наименование субъекта (объекта) контроля 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(Индивидуальный идентификационный номер), бизнес-идентификационный номер </w:t>
      </w:r>
    </w:p>
    <w:p>
      <w:pPr>
        <w:spacing w:after="0"/>
        <w:ind w:left="0"/>
        <w:jc w:val="both"/>
      </w:pPr>
      <w:r>
        <w:rPr>
          <w:rFonts w:ascii="Times New Roman"/>
          <w:b w:val="false"/>
          <w:i w:val="false"/>
          <w:color w:val="000000"/>
          <w:sz w:val="28"/>
        </w:rPr>
        <w:t xml:space="preserve">       субъекта (объекта) контроля _____________________________________</w:t>
      </w:r>
    </w:p>
    <w:p>
      <w:pPr>
        <w:spacing w:after="0"/>
        <w:ind w:left="0"/>
        <w:jc w:val="both"/>
      </w:pPr>
      <w:r>
        <w:rPr>
          <w:rFonts w:ascii="Times New Roman"/>
          <w:b w:val="false"/>
          <w:i w:val="false"/>
          <w:color w:val="000000"/>
          <w:sz w:val="28"/>
        </w:rPr>
        <w:t xml:space="preserve">       Адрес места нахождения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обновленных экзаменационных модулей по дисциплинам "Финансовый учет и отчетность по международным стандартам финансовой отчетности", "Управленческий учет", "Финансы и финансовый менеджмент", "Налоги", "Право (гражданское право, банковское дело, страховое и пенсионное законодательство)", "Этика" и представление их в уполномоченный орган в течение девяноста календарных дней со дня введения в действие изменений в международный стандарт финансовой отчетности и законодательство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издание и распространение материалов по программам сертификации кандидатов в профессиональные бухгалтеры, организация экзаменационного процесса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11"/>
          <w:p>
            <w:pPr>
              <w:spacing w:after="20"/>
              <w:ind w:left="20"/>
              <w:jc w:val="both"/>
            </w:pPr>
            <w:r>
              <w:rPr>
                <w:rFonts w:ascii="Times New Roman"/>
                <w:b w:val="false"/>
                <w:i w:val="false"/>
                <w:color w:val="000000"/>
                <w:sz w:val="20"/>
              </w:rPr>
              <w:t>
Допуск кандидата в профессиональные бухгалтеры на сертификацию, за исключением лица, имеющего квалификационное свидетельство о присвоении квалификации "аудитор", выданное Квалификационной комиссией по аттестации кандидатов в аудиторы, при наличии следующих документов:</w:t>
            </w:r>
          </w:p>
          <w:bookmarkEnd w:id="111"/>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с указанием названия дисциплины (дисциплин);</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копия документа, удостоверяющего личность;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3) нотариально заверенная копия документа, подтверждающая высшее образование;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заверенная нотариально или кадровой службой, или работодателем копии документов, подтверждающих стаж работы не менее последних трех лет в области бухгалтерской, экономической, финансовой, аудиторской, контрольно-ревизионной, учетно-аналитической работы или в области научно-преподавательской деятельности по бухгалтерскому учету и аудиту в учебных заведениях высшего, послесреднего, технического и профессионального образования;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нотариально заверенная копия документа, подтверждающая сдачу квалификационного экзамена на адвоката или нотариуса, либо судью (при его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копии соответствующих международных сертификатов (при их наличии);</w:t>
            </w:r>
          </w:p>
          <w:p>
            <w:pPr>
              <w:spacing w:after="20"/>
              <w:ind w:left="20"/>
              <w:jc w:val="both"/>
            </w:pPr>
            <w:r>
              <w:rPr>
                <w:rFonts w:ascii="Times New Roman"/>
                <w:b w:val="false"/>
                <w:i w:val="false"/>
                <w:color w:val="000000"/>
                <w:sz w:val="20"/>
              </w:rPr>
              <w:t>
7) письменное уведомление или иной документ о сдаче отдельных экзаменов (при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экзаменов по профессиональной сертификации бухгалтеров совместно с профессиональной организацией, с которой заключено соглашение о взаимодействии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в уполномоченный орган отчета о признанных и выданных сертификатах аккредитованной организацией по профессиональной сертификации бухгалтеров в течение трех месяцев с даты проведения экзаменов, признанных и выданных сертификатов, а также с даты внесения изменений в экзаменационные модули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в уполномоченный орган отчета о проведенных экзаменах по дисциплинам и об изменении экзаменационных модулей в течение трех месяцев с даты проведения экзаменов, признанных и выданных сертификатов, а также с даты внесения изменений в экзаменационные модули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Прохождение процедуры аккредитации при изменении наименования, организационно-правовой формы, реорганизации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свидетельства об аккредитации организацией по профессиональной сертификации бухгалтеров при изменении юридического адреса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проведении экзамена в режиме онлайн комиссия имеет свой дистанционный веб-портал, а также свою программу (платформу), обеспечивающую непрерывный и качественный порядок проведения экзамена в режиме онлайн и обеспечивающую доступ к нему независимых наблюдателей.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68" w:id="112"/>
      <w:r>
        <w:rPr>
          <w:rFonts w:ascii="Times New Roman"/>
          <w:b w:val="false"/>
          <w:i w:val="false"/>
          <w:color w:val="000000"/>
          <w:sz w:val="28"/>
        </w:rPr>
        <w:t xml:space="preserve">
      Должностное (ые) лицо (а) _______________________________       _____________ </w:t>
      </w:r>
    </w:p>
    <w:bookmarkEnd w:id="112"/>
    <w:p>
      <w:pPr>
        <w:spacing w:after="0"/>
        <w:ind w:left="0"/>
        <w:jc w:val="both"/>
      </w:pPr>
      <w:r>
        <w:rPr>
          <w:rFonts w:ascii="Times New Roman"/>
          <w:b w:val="false"/>
          <w:i w:val="false"/>
          <w:color w:val="000000"/>
          <w:sz w:val="28"/>
        </w:rPr>
        <w:t xml:space="preserve">                               должность                               подпись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фамилия, имя, отчество (при наличии)</w:t>
      </w:r>
    </w:p>
    <w:p>
      <w:pPr>
        <w:spacing w:after="0"/>
        <w:ind w:left="0"/>
        <w:jc w:val="both"/>
      </w:pPr>
      <w:r>
        <w:rPr>
          <w:rFonts w:ascii="Times New Roman"/>
          <w:b w:val="false"/>
          <w:i w:val="false"/>
          <w:color w:val="000000"/>
          <w:sz w:val="28"/>
        </w:rPr>
        <w:t xml:space="preserve">       Руководитель субъекта контроля __________________________       _____________ </w:t>
      </w:r>
    </w:p>
    <w:p>
      <w:pPr>
        <w:spacing w:after="0"/>
        <w:ind w:left="0"/>
        <w:jc w:val="both"/>
      </w:pPr>
      <w:r>
        <w:rPr>
          <w:rFonts w:ascii="Times New Roman"/>
          <w:b w:val="false"/>
          <w:i w:val="false"/>
          <w:color w:val="000000"/>
          <w:sz w:val="28"/>
        </w:rPr>
        <w:t xml:space="preserve">                                     должность                         подпись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совместному приказу</w:t>
            </w:r>
            <w:r>
              <w:br/>
            </w:r>
            <w:r>
              <w:rPr>
                <w:rFonts w:ascii="Times New Roman"/>
                <w:b w:val="false"/>
                <w:i w:val="false"/>
                <w:color w:val="000000"/>
                <w:sz w:val="20"/>
              </w:rPr>
              <w:t xml:space="preserve">Министра национальной </w:t>
            </w:r>
            <w:r>
              <w:br/>
            </w:r>
            <w:r>
              <w:rPr>
                <w:rFonts w:ascii="Times New Roman"/>
                <w:b w:val="false"/>
                <w:i w:val="false"/>
                <w:color w:val="000000"/>
                <w:sz w:val="20"/>
              </w:rPr>
              <w:t>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декабря 2022 года № 128 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Заместителя Премьер-Министра </w:t>
            </w:r>
            <w:r>
              <w:br/>
            </w:r>
            <w:r>
              <w:rPr>
                <w:rFonts w:ascii="Times New Roman"/>
                <w:b w:val="false"/>
                <w:i w:val="false"/>
                <w:color w:val="000000"/>
                <w:sz w:val="20"/>
              </w:rPr>
              <w:t>-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декабря 2022 года № 1284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 апреля 2021 года № 298 и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21 апреля 2021 года № 45</w:t>
            </w:r>
          </w:p>
        </w:tc>
      </w:tr>
    </w:tbl>
    <w:bookmarkStart w:name="z172" w:id="113"/>
    <w:p>
      <w:pPr>
        <w:spacing w:after="0"/>
        <w:ind w:left="0"/>
        <w:jc w:val="left"/>
      </w:pPr>
      <w:r>
        <w:rPr>
          <w:rFonts w:ascii="Times New Roman"/>
          <w:b/>
          <w:i w:val="false"/>
          <w:color w:val="000000"/>
        </w:rPr>
        <w:t xml:space="preserve"> Проверочный лист </w:t>
      </w:r>
    </w:p>
    <w:bookmarkEnd w:id="113"/>
    <w:p>
      <w:pPr>
        <w:spacing w:after="0"/>
        <w:ind w:left="0"/>
        <w:jc w:val="both"/>
      </w:pPr>
      <w:bookmarkStart w:name="z173" w:id="114"/>
      <w:r>
        <w:rPr>
          <w:rFonts w:ascii="Times New Roman"/>
          <w:b w:val="false"/>
          <w:i w:val="false"/>
          <w:color w:val="000000"/>
          <w:sz w:val="28"/>
        </w:rPr>
        <w:t xml:space="preserve">
      __________в области бухгалтерского учета и финансовой отчетности_________ в </w:t>
      </w:r>
    </w:p>
    <w:bookmarkEnd w:id="114"/>
    <w:p>
      <w:pPr>
        <w:spacing w:after="0"/>
        <w:ind w:left="0"/>
        <w:jc w:val="both"/>
      </w:pPr>
      <w:r>
        <w:rPr>
          <w:rFonts w:ascii="Times New Roman"/>
          <w:b w:val="false"/>
          <w:i w:val="false"/>
          <w:color w:val="000000"/>
          <w:sz w:val="28"/>
        </w:rPr>
        <w:t xml:space="preserve">                         соответствии со </w:t>
      </w:r>
      <w:r>
        <w:rPr>
          <w:rFonts w:ascii="Times New Roman"/>
          <w:b w:val="false"/>
          <w:i w:val="false"/>
          <w:color w:val="000000"/>
          <w:sz w:val="28"/>
        </w:rPr>
        <w:t>статьей 138</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Предпринимательского кодекса Республики Казахстан</w:t>
      </w:r>
    </w:p>
    <w:p>
      <w:pPr>
        <w:spacing w:after="0"/>
        <w:ind w:left="0"/>
        <w:jc w:val="both"/>
      </w:pPr>
      <w:r>
        <w:rPr>
          <w:rFonts w:ascii="Times New Roman"/>
          <w:b w:val="false"/>
          <w:i w:val="false"/>
          <w:color w:val="000000"/>
          <w:sz w:val="28"/>
        </w:rPr>
        <w:t xml:space="preserve">       в отношении ______аккредитованных организаций по профессиональной_____ </w:t>
      </w:r>
    </w:p>
    <w:p>
      <w:pPr>
        <w:spacing w:after="0"/>
        <w:ind w:left="0"/>
        <w:jc w:val="both"/>
      </w:pPr>
      <w:r>
        <w:rPr>
          <w:rFonts w:ascii="Times New Roman"/>
          <w:b w:val="false"/>
          <w:i w:val="false"/>
          <w:color w:val="000000"/>
          <w:sz w:val="28"/>
        </w:rPr>
        <w:t xml:space="preserve">       наименование однородной группы субъектов (объектов)</w:t>
      </w:r>
    </w:p>
    <w:p>
      <w:pPr>
        <w:spacing w:after="0"/>
        <w:ind w:left="0"/>
        <w:jc w:val="both"/>
      </w:pPr>
      <w:r>
        <w:rPr>
          <w:rFonts w:ascii="Times New Roman"/>
          <w:b w:val="false"/>
          <w:i w:val="false"/>
          <w:color w:val="000000"/>
          <w:sz w:val="28"/>
        </w:rPr>
        <w:t xml:space="preserve">       ___________________сертификации бухгалтеров__________________________ </w:t>
      </w:r>
    </w:p>
    <w:p>
      <w:pPr>
        <w:spacing w:after="0"/>
        <w:ind w:left="0"/>
        <w:jc w:val="both"/>
      </w:pPr>
      <w:r>
        <w:rPr>
          <w:rFonts w:ascii="Times New Roman"/>
          <w:b w:val="false"/>
          <w:i w:val="false"/>
          <w:color w:val="000000"/>
          <w:sz w:val="28"/>
        </w:rPr>
        <w:t xml:space="preserve">             контроля</w:t>
      </w:r>
    </w:p>
    <w:p>
      <w:pPr>
        <w:spacing w:after="0"/>
        <w:ind w:left="0"/>
        <w:jc w:val="both"/>
      </w:pPr>
      <w:r>
        <w:rPr>
          <w:rFonts w:ascii="Times New Roman"/>
          <w:b w:val="false"/>
          <w:i w:val="false"/>
          <w:color w:val="000000"/>
          <w:sz w:val="28"/>
        </w:rPr>
        <w:t xml:space="preserve">       Государственный орган, назначивший проверку субъекта (объекта) контроля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Акт о назначении проверки субъекта (объекта) контроля ___________________</w:t>
      </w:r>
    </w:p>
    <w:p>
      <w:pPr>
        <w:spacing w:after="0"/>
        <w:ind w:left="0"/>
        <w:jc w:val="both"/>
      </w:pPr>
      <w:r>
        <w:rPr>
          <w:rFonts w:ascii="Times New Roman"/>
          <w:b w:val="false"/>
          <w:i w:val="false"/>
          <w:color w:val="000000"/>
          <w:sz w:val="28"/>
        </w:rPr>
        <w:t xml:space="preserve">                                                             дата № </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Наименование субъекта (объекта) контроля 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(Индивидуальный идентификационный номер), бизнес-идентификационный номер </w:t>
      </w:r>
    </w:p>
    <w:p>
      <w:pPr>
        <w:spacing w:after="0"/>
        <w:ind w:left="0"/>
        <w:jc w:val="both"/>
      </w:pPr>
      <w:r>
        <w:rPr>
          <w:rFonts w:ascii="Times New Roman"/>
          <w:b w:val="false"/>
          <w:i w:val="false"/>
          <w:color w:val="000000"/>
          <w:sz w:val="28"/>
        </w:rPr>
        <w:t xml:space="preserve">       субъекта (объекта) контроля _____________________________________</w:t>
      </w:r>
    </w:p>
    <w:p>
      <w:pPr>
        <w:spacing w:after="0"/>
        <w:ind w:left="0"/>
        <w:jc w:val="both"/>
      </w:pPr>
      <w:r>
        <w:rPr>
          <w:rFonts w:ascii="Times New Roman"/>
          <w:b w:val="false"/>
          <w:i w:val="false"/>
          <w:color w:val="000000"/>
          <w:sz w:val="28"/>
        </w:rPr>
        <w:t xml:space="preserve">       Адрес места нахождения______________________________________________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экзаменационных модулей по дисциплинам "Финансовый учет и отчетность по международным стандартам финансовой отчетности", "Управленческий учет", "Финансы и финансовый менеджмент", "Налоги", "Право (гражданское право, банковское дело, страховое и пенсионное законодательство)", "Этика"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15"/>
          <w:p>
            <w:pPr>
              <w:spacing w:after="20"/>
              <w:ind w:left="20"/>
              <w:jc w:val="both"/>
            </w:pPr>
            <w:r>
              <w:rPr>
                <w:rFonts w:ascii="Times New Roman"/>
                <w:b w:val="false"/>
                <w:i w:val="false"/>
                <w:color w:val="000000"/>
                <w:sz w:val="20"/>
              </w:rPr>
              <w:t>
Наличие порядка оценки результатов экзаменов:</w:t>
            </w:r>
          </w:p>
          <w:bookmarkEnd w:id="115"/>
          <w:p>
            <w:pPr>
              <w:spacing w:after="20"/>
              <w:ind w:left="20"/>
              <w:jc w:val="both"/>
            </w:pPr>
            <w:r>
              <w:rPr>
                <w:rFonts w:ascii="Times New Roman"/>
                <w:b w:val="false"/>
                <w:i w:val="false"/>
                <w:color w:val="000000"/>
                <w:sz w:val="20"/>
              </w:rPr>
              <w:t>
</w:t>
            </w:r>
            <w:r>
              <w:rPr>
                <w:rFonts w:ascii="Times New Roman"/>
                <w:b w:val="false"/>
                <w:i w:val="false"/>
                <w:color w:val="000000"/>
                <w:sz w:val="20"/>
              </w:rPr>
              <w:t>1) правил формирования экзаменационных билетов;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правил оценки результатов экзамена;</w:t>
            </w:r>
          </w:p>
          <w:p>
            <w:pPr>
              <w:spacing w:after="20"/>
              <w:ind w:left="20"/>
              <w:jc w:val="both"/>
            </w:pPr>
            <w:r>
              <w:rPr>
                <w:rFonts w:ascii="Times New Roman"/>
                <w:b w:val="false"/>
                <w:i w:val="false"/>
                <w:color w:val="000000"/>
                <w:sz w:val="20"/>
              </w:rPr>
              <w:t>
3) правил кодирования/раскодирования экзаменационных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соглашения о взаимодействии с одной или несколькими аккредитованными профессиональными организациями бухгалтеров по истечении шести месяцев с момента выдачи свидетельства об аккредитации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 зависимой от обучения экзаменационной системы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77" w:id="116"/>
      <w:r>
        <w:rPr>
          <w:rFonts w:ascii="Times New Roman"/>
          <w:b w:val="false"/>
          <w:i w:val="false"/>
          <w:color w:val="000000"/>
          <w:sz w:val="28"/>
        </w:rPr>
        <w:t xml:space="preserve">
      Должностное (ые) лицо (а) _______________________________       _____________ </w:t>
      </w:r>
    </w:p>
    <w:bookmarkEnd w:id="116"/>
    <w:p>
      <w:pPr>
        <w:spacing w:after="0"/>
        <w:ind w:left="0"/>
        <w:jc w:val="both"/>
      </w:pPr>
      <w:r>
        <w:rPr>
          <w:rFonts w:ascii="Times New Roman"/>
          <w:b w:val="false"/>
          <w:i w:val="false"/>
          <w:color w:val="000000"/>
          <w:sz w:val="28"/>
        </w:rPr>
        <w:t xml:space="preserve">                               должность                               подпись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фамилия, имя, отчество (при наличии)</w:t>
      </w:r>
    </w:p>
    <w:p>
      <w:pPr>
        <w:spacing w:after="0"/>
        <w:ind w:left="0"/>
        <w:jc w:val="both"/>
      </w:pPr>
      <w:r>
        <w:rPr>
          <w:rFonts w:ascii="Times New Roman"/>
          <w:b w:val="false"/>
          <w:i w:val="false"/>
          <w:color w:val="000000"/>
          <w:sz w:val="28"/>
        </w:rPr>
        <w:t xml:space="preserve">       Руководитель субъекта контроля __________________________       _____________ </w:t>
      </w:r>
    </w:p>
    <w:p>
      <w:pPr>
        <w:spacing w:after="0"/>
        <w:ind w:left="0"/>
        <w:jc w:val="both"/>
      </w:pPr>
      <w:r>
        <w:rPr>
          <w:rFonts w:ascii="Times New Roman"/>
          <w:b w:val="false"/>
          <w:i w:val="false"/>
          <w:color w:val="000000"/>
          <w:sz w:val="28"/>
        </w:rPr>
        <w:t xml:space="preserve">                                     должность                         подпись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фамилия, имя, отчество (при наличии)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