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f67bd" w14:textId="79f67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постановление Правления Национального Банка Республики Казахстан от 27 августа 2018 года № 189 "Об утверждении Правил раскрытия эмитентом информации, Требований к содержанию информации, подлежащей раскрытию эмитентом, а также сроков раскрытия эмитентом информации на интернет-ресурсе депозитария финансовой отчетности"</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12 декабря 2022 года № 111. Зарегистрировано в Министерстве юстиции Республики Казахстан 15 декабря 2022 года № 31140</w:t>
      </w:r>
    </w:p>
    <w:p>
      <w:pPr>
        <w:spacing w:after="0"/>
        <w:ind w:left="0"/>
        <w:jc w:val="both"/>
      </w:pPr>
      <w:bookmarkStart w:name="z4" w:id="0"/>
      <w:r>
        <w:rPr>
          <w:rFonts w:ascii="Times New Roman"/>
          <w:b w:val="false"/>
          <w:i w:val="false"/>
          <w:color w:val="000000"/>
          <w:sz w:val="28"/>
        </w:rPr>
        <w:t>
      Правление Агентства Республики Казахстан по регулированию и развитию финансового рынка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августа 2018 года № 189 "Об утверждении Правил раскрытия эмитентом информации, Требований к содержанию информации, подлежащей раскрытию эмитентом, а также сроков раскрытия эмитентом информации на интернет-ресурсе депозитария финансовой отчетности" (зарегистрировано в Реестре государственной регистрации нормативных правовых актов под № 17579) следующие изменения и дополнение: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раскрытия эмитентом информации (далее – Правила), утвержденных указанным постановлением: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"3. Эмитент в период обращения его эмиссионных ценных бумаг в соответствии с Требованиями к содержанию информации, подлежащей раскрытию эмитентом, а также сроками раскрытия эмитентом информации на интернет-ресурсе депозитария финансовой отчетности, утвержденными постановлением, согласно приложению 2 (далее – Требования), обеспечивает размещение на интернет-ресурсе депозитария финансовой отчетности:</w:t>
      </w:r>
    </w:p>
    <w:bookmarkEnd w:id="3"/>
    <w:bookmarkStart w:name="z9" w:id="4"/>
    <w:p>
      <w:pPr>
        <w:spacing w:after="0"/>
        <w:ind w:left="0"/>
        <w:jc w:val="both"/>
      </w:pPr>
      <w:r>
        <w:rPr>
          <w:rFonts w:ascii="Times New Roman"/>
          <w:b w:val="false"/>
          <w:i w:val="false"/>
          <w:color w:val="000000"/>
          <w:sz w:val="28"/>
        </w:rPr>
        <w:t>
      информации о корпоративных событиях, перечень которых определен пунктом 5 статьи 102 Закона о рынке ценных бумаг, за исключением информации о корпоративных событиях, указанных в подпунктах 3), 5), 6) и 6-1) пункта 5 данной статьи Закона о рынке ценных бумаг, раскрываемой центральным депозитарием посредством информационного взаимодействия информационных систем центрального депозитария и организации, осуществляющей ведение депозитария финансовой отчетности;</w:t>
      </w:r>
    </w:p>
    <w:bookmarkEnd w:id="4"/>
    <w:bookmarkStart w:name="z10" w:id="5"/>
    <w:p>
      <w:pPr>
        <w:spacing w:after="0"/>
        <w:ind w:left="0"/>
        <w:jc w:val="both"/>
      </w:pPr>
      <w:r>
        <w:rPr>
          <w:rFonts w:ascii="Times New Roman"/>
          <w:b w:val="false"/>
          <w:i w:val="false"/>
          <w:color w:val="000000"/>
          <w:sz w:val="28"/>
        </w:rPr>
        <w:t>
      состава участников, владеющих десятью и более процентами долей участия эмитента;</w:t>
      </w:r>
    </w:p>
    <w:bookmarkEnd w:id="5"/>
    <w:bookmarkStart w:name="z11" w:id="6"/>
    <w:p>
      <w:pPr>
        <w:spacing w:after="0"/>
        <w:ind w:left="0"/>
        <w:jc w:val="both"/>
      </w:pPr>
      <w:r>
        <w:rPr>
          <w:rFonts w:ascii="Times New Roman"/>
          <w:b w:val="false"/>
          <w:i w:val="false"/>
          <w:color w:val="000000"/>
          <w:sz w:val="28"/>
        </w:rPr>
        <w:t>
      списка организаций, в которых эмитент владеет десятью и более процентами акций (долей, паев) каждой такой организации;</w:t>
      </w:r>
    </w:p>
    <w:bookmarkEnd w:id="6"/>
    <w:bookmarkStart w:name="z12" w:id="7"/>
    <w:p>
      <w:pPr>
        <w:spacing w:after="0"/>
        <w:ind w:left="0"/>
        <w:jc w:val="both"/>
      </w:pPr>
      <w:r>
        <w:rPr>
          <w:rFonts w:ascii="Times New Roman"/>
          <w:b w:val="false"/>
          <w:i w:val="false"/>
          <w:color w:val="000000"/>
          <w:sz w:val="28"/>
        </w:rPr>
        <w:t>
      методики определения стоимости акций при их выкупе акционерным обществом на неорганизованном рынке.";</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14" w:id="8"/>
    <w:p>
      <w:pPr>
        <w:spacing w:after="0"/>
        <w:ind w:left="0"/>
        <w:jc w:val="both"/>
      </w:pPr>
      <w:r>
        <w:rPr>
          <w:rFonts w:ascii="Times New Roman"/>
          <w:b w:val="false"/>
          <w:i w:val="false"/>
          <w:color w:val="000000"/>
          <w:sz w:val="28"/>
        </w:rPr>
        <w:t>
      "10. При представлении информации о событиях в соответствии с пунктами 10, 12, 13, 14 и 17 Требований, являющихся последствиями ранее произошедших событий, эмитент в электронном отчете, направляемом на сервер депозитария финансовой отчетности, указывает номер электронного уведомления о результатах обработки электронного отчета, поступившего на сервер депозитария финансовой отчетности по ранее опубликованному первоначальному событию, последствием которого является данное событие.</w:t>
      </w:r>
    </w:p>
    <w:bookmarkEnd w:id="8"/>
    <w:bookmarkStart w:name="z15" w:id="9"/>
    <w:p>
      <w:pPr>
        <w:spacing w:after="0"/>
        <w:ind w:left="0"/>
        <w:jc w:val="both"/>
      </w:pPr>
      <w:r>
        <w:rPr>
          <w:rFonts w:ascii="Times New Roman"/>
          <w:b w:val="false"/>
          <w:i w:val="false"/>
          <w:color w:val="000000"/>
          <w:sz w:val="28"/>
        </w:rPr>
        <w:t>
      Если информация о первоначальном событии в момент его возникновения не подлежала размещению на интернет-ресурсе депозитария финансовой отчетности, указывается номер электронного уведомления о результатах обработки электронного отчета, поступившего на сервер депозитария финансовой отчетности по событию, предшествующему данному событию.";</w:t>
      </w:r>
    </w:p>
    <w:bookmarkEnd w:id="9"/>
    <w:bookmarkStart w:name="z16" w:id="10"/>
    <w:p>
      <w:pPr>
        <w:spacing w:after="0"/>
        <w:ind w:left="0"/>
        <w:jc w:val="both"/>
      </w:pPr>
      <w:r>
        <w:rPr>
          <w:rFonts w:ascii="Times New Roman"/>
          <w:b w:val="false"/>
          <w:i w:val="false"/>
          <w:color w:val="000000"/>
          <w:sz w:val="28"/>
        </w:rPr>
        <w:t>
      дополнить пунктом 12 следующего содержания:</w:t>
      </w:r>
    </w:p>
    <w:bookmarkEnd w:id="10"/>
    <w:bookmarkStart w:name="z17" w:id="11"/>
    <w:p>
      <w:pPr>
        <w:spacing w:after="0"/>
        <w:ind w:left="0"/>
        <w:jc w:val="both"/>
      </w:pPr>
      <w:r>
        <w:rPr>
          <w:rFonts w:ascii="Times New Roman"/>
          <w:b w:val="false"/>
          <w:i w:val="false"/>
          <w:color w:val="000000"/>
          <w:sz w:val="28"/>
        </w:rPr>
        <w:t>
      "12. По инициативе эмитента допускается корректировка информации, включенной в электронный отчет и опубликованной на интернет-ресурсе депозитария финансовой отчетности, до даты получения эмитентом уведомления уполномоченного органа о предоставлении пояснений о возможном нарушении требования настоящих Правил.";</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Требования</w:t>
      </w:r>
      <w:r>
        <w:rPr>
          <w:rFonts w:ascii="Times New Roman"/>
          <w:b w:val="false"/>
          <w:i w:val="false"/>
          <w:color w:val="000000"/>
          <w:sz w:val="28"/>
        </w:rPr>
        <w:t xml:space="preserve"> к содержанию информации, подлежащей раскрытию эмитентом, а также сроки раскрытия эмитентом информации на интернет-ресурсе депозитария финансовой отчетности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19" w:id="12"/>
    <w:p>
      <w:pPr>
        <w:spacing w:after="0"/>
        <w:ind w:left="0"/>
        <w:jc w:val="both"/>
      </w:pPr>
      <w:r>
        <w:rPr>
          <w:rFonts w:ascii="Times New Roman"/>
          <w:b w:val="false"/>
          <w:i w:val="false"/>
          <w:color w:val="000000"/>
          <w:sz w:val="28"/>
        </w:rPr>
        <w:t>
      2. Департаменту рынка ценных бумаг в установленном законодательством Республики Казахстан порядке обеспечить:</w:t>
      </w:r>
    </w:p>
    <w:bookmarkEnd w:id="12"/>
    <w:bookmarkStart w:name="z20" w:id="13"/>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13"/>
    <w:bookmarkStart w:name="z21" w:id="1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14"/>
    <w:bookmarkStart w:name="z22" w:id="1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15"/>
    <w:bookmarkStart w:name="z23" w:id="16"/>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16"/>
    <w:bookmarkStart w:name="z24" w:id="17"/>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 за исключением абзаца четвертого пункта 1 настоящего постановления, который вводится в действие с 1 января 2023 года.</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Агентства Республики Казахстан     </w:t>
            </w:r>
          </w:p>
          <w:p>
            <w:pPr>
              <w:spacing w:after="20"/>
              <w:ind w:left="20"/>
              <w:jc w:val="both"/>
            </w:pPr>
          </w:p>
          <w:p>
            <w:pPr>
              <w:spacing w:after="20"/>
              <w:ind w:left="20"/>
              <w:jc w:val="both"/>
            </w:pPr>
            <w:r>
              <w:rPr>
                <w:rFonts w:ascii="Times New Roman"/>
                <w:b w:val="false"/>
                <w:i/>
                <w:color w:val="000000"/>
                <w:sz w:val="20"/>
              </w:rPr>
              <w:t xml:space="preserve">по регулированию и развитию </w:t>
            </w:r>
          </w:p>
          <w:p>
            <w:pPr>
              <w:spacing w:after="0"/>
              <w:ind w:left="0"/>
              <w:jc w:val="left"/>
            </w:pPr>
          </w:p>
          <w:p>
            <w:pPr>
              <w:spacing w:after="20"/>
              <w:ind w:left="20"/>
              <w:jc w:val="both"/>
            </w:pPr>
            <w:r>
              <w:rPr>
                <w:rFonts w:ascii="Times New Roman"/>
                <w:b w:val="false"/>
                <w:i/>
                <w:color w:val="000000"/>
                <w:sz w:val="20"/>
              </w:rPr>
              <w:t>финансового рынка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М. Абылкасымова   </w:t>
            </w:r>
            <w:r>
              <w:rPr>
                <w:rFonts w:ascii="Times New Roman"/>
                <w:b w:val="false"/>
                <w:i w:val="false"/>
                <w:color w:val="000000"/>
                <w:sz w:val="20"/>
              </w:rPr>
              <w:t>
</w:t>
            </w:r>
          </w:p>
        </w:tc>
      </w:tr>
    </w:tbl>
    <w:p>
      <w:pPr>
        <w:spacing w:after="0"/>
        <w:ind w:left="0"/>
        <w:jc w:val="both"/>
      </w:pPr>
      <w:bookmarkStart w:name="z26" w:id="18"/>
      <w:r>
        <w:rPr>
          <w:rFonts w:ascii="Times New Roman"/>
          <w:b w:val="false"/>
          <w:i w:val="false"/>
          <w:color w:val="000000"/>
          <w:sz w:val="28"/>
        </w:rPr>
        <w:t xml:space="preserve">
      "СОГЛАСОВАНО"      </w:t>
      </w:r>
    </w:p>
    <w:bookmarkEnd w:id="18"/>
    <w:p>
      <w:pPr>
        <w:spacing w:after="0"/>
        <w:ind w:left="0"/>
        <w:jc w:val="both"/>
      </w:pPr>
      <w:r>
        <w:rPr>
          <w:rFonts w:ascii="Times New Roman"/>
          <w:b w:val="false"/>
          <w:i w:val="false"/>
          <w:color w:val="000000"/>
          <w:sz w:val="28"/>
        </w:rPr>
        <w:t xml:space="preserve">Министерство финансов      </w:t>
      </w:r>
    </w:p>
    <w:p>
      <w:pPr>
        <w:spacing w:after="0"/>
        <w:ind w:left="0"/>
        <w:jc w:val="both"/>
      </w:pPr>
      <w:r>
        <w:rPr>
          <w:rFonts w:ascii="Times New Roman"/>
          <w:b w:val="false"/>
          <w:i w:val="false"/>
          <w:color w:val="000000"/>
          <w:sz w:val="28"/>
        </w:rPr>
        <w:t xml:space="preserve">Республики Казахстан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 xml:space="preserve">Агентства Республики </w:t>
            </w:r>
            <w:r>
              <w:br/>
            </w:r>
            <w:r>
              <w:rPr>
                <w:rFonts w:ascii="Times New Roman"/>
                <w:b w:val="false"/>
                <w:i w:val="false"/>
                <w:color w:val="000000"/>
                <w:sz w:val="20"/>
              </w:rPr>
              <w:t>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12 декабря 2022 года</w:t>
            </w:r>
            <w:r>
              <w:br/>
            </w:r>
            <w:r>
              <w:rPr>
                <w:rFonts w:ascii="Times New Roman"/>
                <w:b w:val="false"/>
                <w:i w:val="false"/>
                <w:color w:val="000000"/>
                <w:sz w:val="20"/>
              </w:rPr>
              <w:t>№ 111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27 августа 2018 года № 189  </w:t>
            </w:r>
          </w:p>
        </w:tc>
      </w:tr>
    </w:tbl>
    <w:bookmarkStart w:name="z29" w:id="19"/>
    <w:p>
      <w:pPr>
        <w:spacing w:after="0"/>
        <w:ind w:left="0"/>
        <w:jc w:val="left"/>
      </w:pPr>
      <w:r>
        <w:rPr>
          <w:rFonts w:ascii="Times New Roman"/>
          <w:b/>
          <w:i w:val="false"/>
          <w:color w:val="000000"/>
        </w:rPr>
        <w:t xml:space="preserve"> Требования к содержанию информации, подлежащей раскрытию эмитентом, а также сроки раскрытия эмитентом информации на интернет-ресурсе депозитария финансовой отчетности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раскрытия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решениях, принятых общим собранием акционеров (участников) или единственным акционером (участником)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0"/>
          <w:p>
            <w:pPr>
              <w:spacing w:after="20"/>
              <w:ind w:left="20"/>
              <w:jc w:val="both"/>
            </w:pPr>
            <w:r>
              <w:rPr>
                <w:rFonts w:ascii="Times New Roman"/>
                <w:b w:val="false"/>
                <w:i w:val="false"/>
                <w:color w:val="000000"/>
                <w:sz w:val="20"/>
              </w:rPr>
              <w:t>
1) дата, время и место проведения общего собрания акционеров (участников) эмитента;</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2) вопросы, включенные в повестку дня общего собрания акционеров (участников) эмитента;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3) решения, принятые общим собранием акционеров акционерного общества (участников), с указанием итогов (результатов) голосования;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в случае принятия общим собранием акционеров акционерного общества (участников) решения о добровольной ликвидации или добровольной реорганизации эмитента его дочерних организаций: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место нахождения, наименование реорганизуемого или ликвидируемого юридического лица;</w:t>
            </w:r>
          </w:p>
          <w:p>
            <w:pPr>
              <w:spacing w:after="20"/>
              <w:ind w:left="20"/>
              <w:jc w:val="both"/>
            </w:pPr>
            <w:r>
              <w:rPr>
                <w:rFonts w:ascii="Times New Roman"/>
                <w:b w:val="false"/>
                <w:i w:val="false"/>
                <w:color w:val="000000"/>
                <w:sz w:val="20"/>
              </w:rPr>
              <w:t>
</w:t>
            </w:r>
            <w:r>
              <w:rPr>
                <w:rFonts w:ascii="Times New Roman"/>
                <w:b w:val="false"/>
                <w:i w:val="false"/>
                <w:color w:val="000000"/>
                <w:sz w:val="20"/>
              </w:rPr>
              <w:t>форма и условия реорганизации эмитента;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5) иные сведения при необходимости.</w:t>
            </w:r>
          </w:p>
          <w:p>
            <w:pPr>
              <w:spacing w:after="20"/>
              <w:ind w:left="20"/>
              <w:jc w:val="both"/>
            </w:pPr>
            <w:r>
              <w:rPr>
                <w:rFonts w:ascii="Times New Roman"/>
                <w:b w:val="false"/>
                <w:i w:val="false"/>
                <w:color w:val="000000"/>
                <w:sz w:val="20"/>
              </w:rPr>
              <w:t>
В случае наличия у эмитента единственного акционера (участника), указывается дата решения единственного акционера (участника), решения, принятые единственным акционером (участником), иные сведения по решению эмитента.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10 (десяти) рабочих дней после даты принятия решения общего собрания акционеров (участников) или единственным акционером (участником).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избрании органа управления (наблюдательного совета), исполнительного органа (лица, единолично осуществляющего функции исполнительного органа), эмитента с указанием состава органа управления (наблюдательного совета), исполнительного органа (лица, единолично осуществляющего функции исполнительного органа) эмитента, а также изменениях в составе органа управления (наблюдательного совета), исполнительного органа (лица, единолично осуществляющего функции исполнительного органа) эмитента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1"/>
          <w:p>
            <w:pPr>
              <w:spacing w:after="20"/>
              <w:ind w:left="20"/>
              <w:jc w:val="both"/>
            </w:pPr>
            <w:r>
              <w:rPr>
                <w:rFonts w:ascii="Times New Roman"/>
                <w:b w:val="false"/>
                <w:i w:val="false"/>
                <w:color w:val="000000"/>
                <w:sz w:val="20"/>
              </w:rPr>
              <w:t>
1) дата принятия решения об избрании (назначении) либо изменении состава органа эмитента с указанием наименования органа эмитента, принявшего решение. В случае если досрочное прекращение полномочий члена органа управления и (или) исполнительного органа осуществляется по их инициативе, то указывается дата получения письменного уведомления органом управления эмитента;</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2) наименование органа эмитента, состав которого избран (назначен) либо изменен;</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состав органа эмитента либо суть изменений в составе органа эмитента: фамилия, имя, отчество (при его наличии) лиц, избранных (назначенных) в состав органа, фамилия, имя, отчество (при его наличии) лица, избранного (назначенного) в состав органа, а также исключенного из состава органа;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состав органа эмитента с учетом внесенных в него изменений с указанием фамилии, имени, отчества (при его наличии) каждого лица, входящего в состав органа эмитента;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процентное соотношение голосующих акций (долей участия в уставном капитале) принадлежащих избранному (назначенному) члену совета директоров (наблюдательного совета) эмитента, к общему количеству голосующих акций (долей участия в уставном капитале) эмитента;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процентное соотношение акций (долей участия в уставном капитале), принадлежащих избранному (назначенному) члену совета директоров эмитента в дочерних организациях, к общему количеству размещенных акций (долей участия в уставном капитале) данных организаций.</w:t>
            </w:r>
          </w:p>
          <w:p>
            <w:pPr>
              <w:spacing w:after="20"/>
              <w:ind w:left="20"/>
              <w:jc w:val="both"/>
            </w:pPr>
            <w:r>
              <w:rPr>
                <w:rFonts w:ascii="Times New Roman"/>
                <w:b w:val="false"/>
                <w:i w:val="false"/>
                <w:color w:val="000000"/>
                <w:sz w:val="20"/>
              </w:rPr>
              <w:t>
В случае если общим собранием акционеров (участниками) и (или) советом директоров (наблюдательным советом) эмитента принято решение только об изменении состава органов эмитента, информация о данном решении размещается только в соответствии с пунктом 2 настоящего приложения с указанием об этом.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10 (десяти) рабочих дней после даты принятия решения об избрании (назначении) либо изменении состава органа эмитента или после даты получения письменного уведомления органом управления эмитента.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составе участников, и (или) об изменении в составе участников, владеющих десятью и более процентами долей участия эмитента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2"/>
          <w:p>
            <w:pPr>
              <w:spacing w:after="20"/>
              <w:ind w:left="20"/>
              <w:jc w:val="both"/>
            </w:pPr>
            <w:r>
              <w:rPr>
                <w:rFonts w:ascii="Times New Roman"/>
                <w:b w:val="false"/>
                <w:i w:val="false"/>
                <w:color w:val="000000"/>
                <w:sz w:val="20"/>
              </w:rPr>
              <w:t>
1) состав участников, владеющих десятью и более процентами долей участия эмитента:</w:t>
            </w:r>
          </w:p>
          <w:bookmarkEnd w:id="22"/>
          <w:p>
            <w:pPr>
              <w:spacing w:after="20"/>
              <w:ind w:left="20"/>
              <w:jc w:val="both"/>
            </w:pPr>
            <w:r>
              <w:rPr>
                <w:rFonts w:ascii="Times New Roman"/>
                <w:b w:val="false"/>
                <w:i w:val="false"/>
                <w:color w:val="000000"/>
                <w:sz w:val="20"/>
              </w:rPr>
              <w:t>
</w:t>
            </w:r>
            <w:r>
              <w:rPr>
                <w:rFonts w:ascii="Times New Roman"/>
                <w:b w:val="false"/>
                <w:i w:val="false"/>
                <w:color w:val="000000"/>
                <w:sz w:val="20"/>
              </w:rPr>
              <w:t>для физического лица - фамилия, имя, отчество (при его наличии) лица;</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юридического лица - полное наименование и место нахождения юридического лица;</w:t>
            </w:r>
          </w:p>
          <w:p>
            <w:pPr>
              <w:spacing w:after="20"/>
              <w:ind w:left="20"/>
              <w:jc w:val="both"/>
            </w:pPr>
            <w:r>
              <w:rPr>
                <w:rFonts w:ascii="Times New Roman"/>
                <w:b w:val="false"/>
                <w:i w:val="false"/>
                <w:color w:val="000000"/>
                <w:sz w:val="20"/>
              </w:rPr>
              <w:t>
</w:t>
            </w:r>
            <w:r>
              <w:rPr>
                <w:rFonts w:ascii="Times New Roman"/>
                <w:b w:val="false"/>
                <w:i w:val="false"/>
                <w:color w:val="000000"/>
                <w:sz w:val="20"/>
              </w:rPr>
              <w:t>2) дата изменения состава участников, владеющих десятью и более процентами долей участия эмитента (дата регистрации изменений в системе реестров держателей ценных бумаг или системе учета номинального держания или Национальном реестре бизнес-идентификационных номеров);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суть изменений в составе участников эмитента: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физического лица - фамилия, имя, отчество (при его наличии) лица, включенного в состав участников либо исключенного из состава участников;</w:t>
            </w:r>
          </w:p>
          <w:p>
            <w:pPr>
              <w:spacing w:after="20"/>
              <w:ind w:left="20"/>
              <w:jc w:val="both"/>
            </w:pPr>
            <w:r>
              <w:rPr>
                <w:rFonts w:ascii="Times New Roman"/>
                <w:b w:val="false"/>
                <w:i w:val="false"/>
                <w:color w:val="000000"/>
                <w:sz w:val="20"/>
              </w:rPr>
              <w:t>
для юридического лица - полное наименование и место нахождения юридического лица, включенного в состав участников либо исключенного из состава участников.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3 (трех) рабочих дней после даты получения эмитентом документов, подтверждающих регистрацию изменений в системе реестров держателей ценных бумаг или системе учета номинального держания или Национальном реестре бизнес-идентификационных номеров.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решении, принятом советом директоров эмитента или соответствующего органа эмитента, не являющегося акционерным обществом, уполномоченным на принятие решения о созыве годового и внеочередного общего собрания акционеров (участников)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23"/>
          <w:p>
            <w:pPr>
              <w:spacing w:after="20"/>
              <w:ind w:left="20"/>
              <w:jc w:val="both"/>
            </w:pPr>
            <w:r>
              <w:rPr>
                <w:rFonts w:ascii="Times New Roman"/>
                <w:b w:val="false"/>
                <w:i w:val="false"/>
                <w:color w:val="000000"/>
                <w:sz w:val="20"/>
              </w:rPr>
              <w:t>
1) дата принятия решения;</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2) решение, принятое советом директоров или соответствующим органом эмитента, не являющегося акционерным обществом, уполномоченным на принятие решения о созыве годового и внеочередного общего собрания акционеров (участников);</w:t>
            </w:r>
          </w:p>
          <w:p>
            <w:pPr>
              <w:spacing w:after="20"/>
              <w:ind w:left="20"/>
              <w:jc w:val="both"/>
            </w:pPr>
            <w:r>
              <w:rPr>
                <w:rFonts w:ascii="Times New Roman"/>
                <w:b w:val="false"/>
                <w:i w:val="false"/>
                <w:color w:val="000000"/>
                <w:sz w:val="20"/>
              </w:rPr>
              <w:t>
3) иные сведения при необходимости.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10 (десяти) рабочих дней после даты принятия решения советом директоров эмитента или соответствующим органом эмитента, не являющегося акционерным обществом, уполномоченным на принятие данного 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решении, принятом советом директоров акционерного общества о размещении (реализации) акций, в том числе о количестве размещаемых (реализуемых) акций в пределах количества объявленных акций, способе и цене их размещения (реализации)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24"/>
          <w:p>
            <w:pPr>
              <w:spacing w:after="20"/>
              <w:ind w:left="20"/>
              <w:jc w:val="both"/>
            </w:pPr>
            <w:r>
              <w:rPr>
                <w:rFonts w:ascii="Times New Roman"/>
                <w:b w:val="false"/>
                <w:i w:val="false"/>
                <w:color w:val="000000"/>
                <w:sz w:val="20"/>
              </w:rPr>
              <w:t>
1) дата принятия решения;</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2) решение (решения), принятое (принятые) советом директоров;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вид и количество размещаемых (реализуемых) акций;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4) способ размещения;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цена размещения (реализации);</w:t>
            </w:r>
          </w:p>
          <w:p>
            <w:pPr>
              <w:spacing w:after="20"/>
              <w:ind w:left="20"/>
              <w:jc w:val="both"/>
            </w:pPr>
            <w:r>
              <w:rPr>
                <w:rFonts w:ascii="Times New Roman"/>
                <w:b w:val="false"/>
                <w:i w:val="false"/>
                <w:color w:val="000000"/>
                <w:sz w:val="20"/>
              </w:rPr>
              <w:t>
6) иные сведения при необходимости.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10 (десяти) рабочих дней после даты принятия решения советом директоров акционерного общества.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решении, принятом советом директоров акционерного общества о выкупе акционерным обществом размещенных акций, если количество выкупаемых обществом акций превышает один процент от общего количества размещенных акций, и цене их выкупа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25"/>
          <w:p>
            <w:pPr>
              <w:spacing w:after="20"/>
              <w:ind w:left="20"/>
              <w:jc w:val="both"/>
            </w:pPr>
            <w:r>
              <w:rPr>
                <w:rFonts w:ascii="Times New Roman"/>
                <w:b w:val="false"/>
                <w:i w:val="false"/>
                <w:color w:val="000000"/>
                <w:sz w:val="20"/>
              </w:rPr>
              <w:t>
1) дата принятия решения;</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2) решение (решения), принятое (принятые) советом директоров общества;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3) вид и количество выкупаемых акций по инициативе общества;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4) цена выкупаемых по инициативе общества акций;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5) срок и условия выкупа по инициативе общества акций;</w:t>
            </w:r>
          </w:p>
          <w:p>
            <w:pPr>
              <w:spacing w:after="20"/>
              <w:ind w:left="20"/>
              <w:jc w:val="both"/>
            </w:pPr>
            <w:r>
              <w:rPr>
                <w:rFonts w:ascii="Times New Roman"/>
                <w:b w:val="false"/>
                <w:i w:val="false"/>
                <w:color w:val="000000"/>
                <w:sz w:val="20"/>
              </w:rPr>
              <w:t>
6) иные сведения при необходимости.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10 (десяти) рабочих дней после даты принятия решения советом директоров акционерного общества.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решении, принятом советом директоров эмитента или соответствующего органа эмитента, не являющегося акционерным обществом, уполномоченным на принятие решения о выпуске облигаций и производных ценных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26"/>
          <w:p>
            <w:pPr>
              <w:spacing w:after="20"/>
              <w:ind w:left="20"/>
              <w:jc w:val="both"/>
            </w:pPr>
            <w:r>
              <w:rPr>
                <w:rFonts w:ascii="Times New Roman"/>
                <w:b w:val="false"/>
                <w:i w:val="false"/>
                <w:color w:val="000000"/>
                <w:sz w:val="20"/>
              </w:rPr>
              <w:t>
1) дата принятия решения;</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2) решение (решения), принятое (принятые) советом директоров или соответствующим органом эмитента, не являющегося акционерным обществом, уполномоченным на принятие решения;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количество и вид выпускаемых облигаций и производных ценных бумаг;</w:t>
            </w:r>
          </w:p>
          <w:p>
            <w:pPr>
              <w:spacing w:after="20"/>
              <w:ind w:left="20"/>
              <w:jc w:val="both"/>
            </w:pPr>
            <w:r>
              <w:rPr>
                <w:rFonts w:ascii="Times New Roman"/>
                <w:b w:val="false"/>
                <w:i w:val="false"/>
                <w:color w:val="000000"/>
                <w:sz w:val="20"/>
              </w:rPr>
              <w:t>
</w:t>
            </w:r>
            <w:r>
              <w:rPr>
                <w:rFonts w:ascii="Times New Roman"/>
                <w:b w:val="false"/>
                <w:i w:val="false"/>
                <w:color w:val="000000"/>
                <w:sz w:val="20"/>
              </w:rPr>
              <w:t>4) номинальная стоимость и валюта номинальной стоимости;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5) объем выпуска;</w:t>
            </w:r>
          </w:p>
          <w:p>
            <w:pPr>
              <w:spacing w:after="20"/>
              <w:ind w:left="20"/>
              <w:jc w:val="both"/>
            </w:pPr>
            <w:r>
              <w:rPr>
                <w:rFonts w:ascii="Times New Roman"/>
                <w:b w:val="false"/>
                <w:i w:val="false"/>
                <w:color w:val="000000"/>
                <w:sz w:val="20"/>
              </w:rPr>
              <w:t>
6) иные сведения при необходимости.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10 (десяти) рабочих дней после даты принятия решения советом директоров эмитента или соответствующим органом эмитента, не являющегося акционерным обществом, уполномоченным на принятие данного решения.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решении, принятом общим собранием акционеров (единственным акционером) или советом директоров акционерного общества о заключении крупных сделок и (или) сделок, которые отвечают одновременно следующим условиям: являются сделками, в совершении которых акционерным обществом имеется заинтересованность, и связаны с приобретением или отчуждением имущества, стоимость которого составляет десять и более процентов от размера общей балансовой стоимости активов акционерного общества на дату принятия уполномоченным органом акционерного общества решения о заключении таких сделок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27"/>
          <w:p>
            <w:pPr>
              <w:spacing w:after="20"/>
              <w:ind w:left="20"/>
              <w:jc w:val="both"/>
            </w:pPr>
            <w:r>
              <w:rPr>
                <w:rFonts w:ascii="Times New Roman"/>
                <w:b w:val="false"/>
                <w:i w:val="false"/>
                <w:color w:val="000000"/>
                <w:sz w:val="20"/>
              </w:rPr>
              <w:t>
1) дата принятия решения о крупной сделке и (или) о сделке с заинтересованностью;</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2) решение (решения), принятое (принятые) общим собранием акционеров (единственным акционером) или советом директоров акционерного общества;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3) вид сделки;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предмет сделки;</w:t>
            </w:r>
          </w:p>
          <w:p>
            <w:pPr>
              <w:spacing w:after="20"/>
              <w:ind w:left="20"/>
              <w:jc w:val="both"/>
            </w:pPr>
            <w:r>
              <w:rPr>
                <w:rFonts w:ascii="Times New Roman"/>
                <w:b w:val="false"/>
                <w:i w:val="false"/>
                <w:color w:val="000000"/>
                <w:sz w:val="20"/>
              </w:rPr>
              <w:t>
5) процентное соотношение стоимости имущества, являющегося предметом крупной сделки и (или) сделки с заинтересованностью, к общей стоимости активов данного акционерного общества, на дату принятия органом акционерного общества решения о заключении такой сделки. Если решение о заключении акционерным обществом крупной сделки и (или) сделки с заинтересованностью, содержит информацию, составляющую банковскую тайну, тайну страхования, коммерческую тайну на рынке ценных бумаг и иную тайну, охраняемую законами Республики Казахстан, при размещении информации публикуется только дата принятия решения о заключении крупной сделки и (или) сделки с заинтересованностью, а также иная информация по решению акционерного общества при наличии согласия контрагента. При принятии в течение одного рабочего дня нескольких решений о заключении акционерным обществом крупной сделки и (или) сделки с заинтересованностью, допускается предоставление информации по таким решениям посредством представления акционерным обществом одной заявки, содержащей информацию по нескольким таким решениям.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3 (трех) рабочих дней после даты принятия решения общим собранием акционеров (единственным акционером) или советом директоров акционерного общества.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списке, и (или) об изменении в списке организаций, в которых эмитент обладает десятью и более процентами акций (долей, паев) каждой такой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28"/>
          <w:p>
            <w:pPr>
              <w:spacing w:after="20"/>
              <w:ind w:left="20"/>
              <w:jc w:val="both"/>
            </w:pPr>
            <w:r>
              <w:rPr>
                <w:rFonts w:ascii="Times New Roman"/>
                <w:b w:val="false"/>
                <w:i w:val="false"/>
                <w:color w:val="000000"/>
                <w:sz w:val="20"/>
              </w:rPr>
              <w:t>
1) список организаций, в которых эмитент обладает десятью и более процентами акций (долей, паев) каждой такой организации;</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2) полное наименование организации, в которой эмитент стал обладать (перестал обладать) десятью и более процентами акций (долей, паев);</w:t>
            </w:r>
          </w:p>
          <w:p>
            <w:pPr>
              <w:spacing w:after="20"/>
              <w:ind w:left="20"/>
              <w:jc w:val="both"/>
            </w:pPr>
            <w:r>
              <w:rPr>
                <w:rFonts w:ascii="Times New Roman"/>
                <w:b w:val="false"/>
                <w:i w:val="false"/>
                <w:color w:val="000000"/>
                <w:sz w:val="20"/>
              </w:rPr>
              <w:t>
3) процентное соотношение количества акций (долей, паев) данной организации к общему количеству размещенных акций (долей, паев) организации на дату, следующую за датой изменения списка организаций, в которых эмитент обладает десятью и более процентами акций (долей, паев).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3 (трех) рабочих дней после даты получения документов подтверждающих, что эмитент стал обладать (перестал обладать) десятью и более процентами акций (долей, паев) в организации.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совершении акционерным обществом крупных сделок и (или) сделок, которые отвечают одновременно следующим условиям: являются сделками, в совершении которых акционерным обществом имеется заинтересованность, и связаны с приобретением или отчуждением имущества, стоимость которого составляет десять и более процентов от размера общей балансовой стоимости активов акционерного общества на дату принятия уполномоченным органом акционерного общества решения о заключении таких сделок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29"/>
          <w:p>
            <w:pPr>
              <w:spacing w:after="20"/>
              <w:ind w:left="20"/>
              <w:jc w:val="both"/>
            </w:pPr>
            <w:r>
              <w:rPr>
                <w:rFonts w:ascii="Times New Roman"/>
                <w:b w:val="false"/>
                <w:i w:val="false"/>
                <w:color w:val="000000"/>
                <w:sz w:val="20"/>
              </w:rPr>
              <w:t>
1) дата заключения договора о крупной сделке и (или) о сделке с заинтересованностью на дату принятия уполномоченным органом общества решения о заключении такой сделки либо дополнительного соглашения (дополнительного соглашения к договору);</w:t>
            </w:r>
          </w:p>
          <w:bookmarkEnd w:id="29"/>
          <w:p>
            <w:pPr>
              <w:spacing w:after="20"/>
              <w:ind w:left="20"/>
              <w:jc w:val="both"/>
            </w:pPr>
            <w:r>
              <w:rPr>
                <w:rFonts w:ascii="Times New Roman"/>
                <w:b w:val="false"/>
                <w:i w:val="false"/>
                <w:color w:val="000000"/>
                <w:sz w:val="20"/>
              </w:rPr>
              <w:t>
</w:t>
            </w:r>
            <w:r>
              <w:rPr>
                <w:rFonts w:ascii="Times New Roman"/>
                <w:b w:val="false"/>
                <w:i w:val="false"/>
                <w:color w:val="000000"/>
                <w:sz w:val="20"/>
              </w:rPr>
              <w:t>2) предмет крупной сделки и (или) сделки с заинтересованностью;</w:t>
            </w:r>
          </w:p>
          <w:p>
            <w:pPr>
              <w:spacing w:after="20"/>
              <w:ind w:left="20"/>
              <w:jc w:val="both"/>
            </w:pPr>
            <w:r>
              <w:rPr>
                <w:rFonts w:ascii="Times New Roman"/>
                <w:b w:val="false"/>
                <w:i w:val="false"/>
                <w:color w:val="000000"/>
                <w:sz w:val="20"/>
              </w:rPr>
              <w:t>
</w:t>
            </w:r>
            <w:r>
              <w:rPr>
                <w:rFonts w:ascii="Times New Roman"/>
                <w:b w:val="false"/>
                <w:i w:val="false"/>
                <w:color w:val="000000"/>
                <w:sz w:val="20"/>
              </w:rPr>
              <w:t>3) дата принятия органом акционерного общества решения о заключении крупной сделки и (или) сделки с заинтересованностью;</w:t>
            </w:r>
          </w:p>
          <w:p>
            <w:pPr>
              <w:spacing w:after="20"/>
              <w:ind w:left="20"/>
              <w:jc w:val="both"/>
            </w:pPr>
            <w:r>
              <w:rPr>
                <w:rFonts w:ascii="Times New Roman"/>
                <w:b w:val="false"/>
                <w:i w:val="false"/>
                <w:color w:val="000000"/>
                <w:sz w:val="20"/>
              </w:rPr>
              <w:t>
</w:t>
            </w:r>
            <w:r>
              <w:rPr>
                <w:rFonts w:ascii="Times New Roman"/>
                <w:b w:val="false"/>
                <w:i w:val="false"/>
                <w:color w:val="000000"/>
                <w:sz w:val="20"/>
              </w:rPr>
              <w:t>4) стоимость имущества, являющегося предметом крупной сделки и (или) сделки с заинтересованностью на дату принятия органом акционерного общества решения о заключении крупной сделки и (или) сделки с заинтересованностью;</w:t>
            </w:r>
          </w:p>
          <w:p>
            <w:pPr>
              <w:spacing w:after="20"/>
              <w:ind w:left="20"/>
              <w:jc w:val="both"/>
            </w:pPr>
            <w:r>
              <w:rPr>
                <w:rFonts w:ascii="Times New Roman"/>
                <w:b w:val="false"/>
                <w:i w:val="false"/>
                <w:color w:val="000000"/>
                <w:sz w:val="20"/>
              </w:rPr>
              <w:t>
</w:t>
            </w:r>
            <w:r>
              <w:rPr>
                <w:rFonts w:ascii="Times New Roman"/>
                <w:b w:val="false"/>
                <w:i w:val="false"/>
                <w:color w:val="000000"/>
                <w:sz w:val="20"/>
              </w:rPr>
              <w:t>5) дата последней оценки имущества, являющегося предметом крупной сделки и (или) сделки с заинтересованностью, за исключением случаев, когда предметом сделки являются деньги и (или) выпускаемые (размещаемые) на первичном рынке ценные бумаги);</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процентное соотношение стоимости имущества, являющегося предметом крупной сделки и (или) сделки с заинтересованностью, к общей стоимости активов данного акционерного общества, на дату принятия органом акционерного общества решения о заключении крупной сделки и (или) сделки с заинтересованностью;</w:t>
            </w:r>
          </w:p>
          <w:p>
            <w:pPr>
              <w:spacing w:after="20"/>
              <w:ind w:left="20"/>
              <w:jc w:val="both"/>
            </w:pPr>
            <w:r>
              <w:rPr>
                <w:rFonts w:ascii="Times New Roman"/>
                <w:b w:val="false"/>
                <w:i w:val="false"/>
                <w:color w:val="000000"/>
                <w:sz w:val="20"/>
              </w:rPr>
              <w:t>
</w:t>
            </w:r>
            <w:r>
              <w:rPr>
                <w:rFonts w:ascii="Times New Roman"/>
                <w:b w:val="false"/>
                <w:i w:val="false"/>
                <w:color w:val="000000"/>
                <w:sz w:val="20"/>
              </w:rPr>
              <w:t>7) сведения о сторонах крупной сделки и (или) сделки с заинтересованностью, приобретенных или отчуждаемых активах, сроках и условиях сделки, характере и объеме долей участия вовлеченных лиц, а также при наличии иные сведения о сделке.</w:t>
            </w:r>
          </w:p>
          <w:p>
            <w:pPr>
              <w:spacing w:after="20"/>
              <w:ind w:left="20"/>
              <w:jc w:val="both"/>
            </w:pPr>
            <w:r>
              <w:rPr>
                <w:rFonts w:ascii="Times New Roman"/>
                <w:b w:val="false"/>
                <w:i w:val="false"/>
                <w:color w:val="000000"/>
                <w:sz w:val="20"/>
              </w:rPr>
              <w:t>
</w:t>
            </w:r>
            <w:r>
              <w:rPr>
                <w:rFonts w:ascii="Times New Roman"/>
                <w:b w:val="false"/>
                <w:i w:val="false"/>
                <w:color w:val="000000"/>
                <w:sz w:val="20"/>
              </w:rPr>
              <w:t>Если договор о заключении акционерным обществом крупной сделки и (или) сделки с заинтересованностью содержит информацию, составляющую банковскую тайну, тайну страхования, коммерческую тайну на рынке ценных бумаг и иную тайну, охраняемую законами Республики Казахстан, при размещении информации о сделках публикуется только дата заключения, а также иная информация по решению акционерного общества при наличии согласия контрагента.</w:t>
            </w:r>
          </w:p>
          <w:p>
            <w:pPr>
              <w:spacing w:after="20"/>
              <w:ind w:left="20"/>
              <w:jc w:val="both"/>
            </w:pPr>
            <w:r>
              <w:rPr>
                <w:rFonts w:ascii="Times New Roman"/>
                <w:b w:val="false"/>
                <w:i w:val="false"/>
                <w:color w:val="000000"/>
                <w:sz w:val="20"/>
              </w:rPr>
              <w:t>
При заключении в течение одного рабочего дня нескольких крупных сделок и (или) сделок с заинтересованностью, допускается предоставление информации по таким сделкам посредством представления акционерным обществом одной заявки, содержащей информацию по нескольким таким сделкам.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30"/>
          <w:p>
            <w:pPr>
              <w:spacing w:after="20"/>
              <w:ind w:left="20"/>
              <w:jc w:val="both"/>
            </w:pPr>
            <w:r>
              <w:rPr>
                <w:rFonts w:ascii="Times New Roman"/>
                <w:b w:val="false"/>
                <w:i w:val="false"/>
                <w:color w:val="000000"/>
                <w:sz w:val="20"/>
              </w:rPr>
              <w:t>
в течение 3 (трех) рабочих дней после даты:</w:t>
            </w:r>
          </w:p>
          <w:bookmarkEnd w:id="30"/>
          <w:p>
            <w:pPr>
              <w:spacing w:after="20"/>
              <w:ind w:left="20"/>
              <w:jc w:val="both"/>
            </w:pPr>
            <w:r>
              <w:rPr>
                <w:rFonts w:ascii="Times New Roman"/>
                <w:b w:val="false"/>
                <w:i w:val="false"/>
                <w:color w:val="000000"/>
                <w:sz w:val="20"/>
              </w:rPr>
              <w:t>
</w:t>
            </w:r>
            <w:r>
              <w:rPr>
                <w:rFonts w:ascii="Times New Roman"/>
                <w:b w:val="false"/>
                <w:i w:val="false"/>
                <w:color w:val="000000"/>
                <w:sz w:val="20"/>
              </w:rPr>
              <w:t>заключения акционерным обществом договора либо дополнительного соглашения к договору;</w:t>
            </w:r>
          </w:p>
          <w:p>
            <w:pPr>
              <w:spacing w:after="20"/>
              <w:ind w:left="20"/>
              <w:jc w:val="both"/>
            </w:pPr>
            <w:r>
              <w:rPr>
                <w:rFonts w:ascii="Times New Roman"/>
                <w:b w:val="false"/>
                <w:i w:val="false"/>
                <w:color w:val="000000"/>
                <w:sz w:val="20"/>
              </w:rPr>
              <w:t>
получения акционерным обществом документов, подтверждающих ее государственную или иную регистрацию, в случае, если для заключения крупной сделки и (или) сделки с заинтересованностью, необходима обязательная государственная или иная регистрация.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решении суда о принудительной ликвидации или реорганизации эмитента, а также о принудительной ликвидации или реорганизации его дочерних и зависимых организаций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31"/>
          <w:p>
            <w:pPr>
              <w:spacing w:after="20"/>
              <w:ind w:left="20"/>
              <w:jc w:val="both"/>
            </w:pPr>
            <w:r>
              <w:rPr>
                <w:rFonts w:ascii="Times New Roman"/>
                <w:b w:val="false"/>
                <w:i w:val="false"/>
                <w:color w:val="000000"/>
                <w:sz w:val="20"/>
              </w:rPr>
              <w:t>
1) дата принятия решения о принудительной ликвидации или реорганизации эмитента, дочерней организации и зависимой организации;</w:t>
            </w:r>
          </w:p>
          <w:bookmarkEnd w:id="31"/>
          <w:p>
            <w:pPr>
              <w:spacing w:after="20"/>
              <w:ind w:left="20"/>
              <w:jc w:val="both"/>
            </w:pPr>
            <w:r>
              <w:rPr>
                <w:rFonts w:ascii="Times New Roman"/>
                <w:b w:val="false"/>
                <w:i w:val="false"/>
                <w:color w:val="000000"/>
                <w:sz w:val="20"/>
              </w:rPr>
              <w:t>
</w:t>
            </w:r>
            <w:r>
              <w:rPr>
                <w:rFonts w:ascii="Times New Roman"/>
                <w:b w:val="false"/>
                <w:i w:val="false"/>
                <w:color w:val="000000"/>
                <w:sz w:val="20"/>
              </w:rPr>
              <w:t>2) наименование государственного органа, принявшего решение о принудительной ликвидации или реорганизации эмитента, дочерней организации и зависимой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основание принятия решения о принудительной ликвидации или реорганизации эмитента, дочерней организации и зависимой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место нахождения и наименование ликвидируемой или реорганизуемой дочерней организации эмитента и (или) зависимой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форма и условия ликвидации или реорганизации эмитента, дочерней организации эмитента и зависимой организации;</w:t>
            </w:r>
          </w:p>
          <w:p>
            <w:pPr>
              <w:spacing w:after="20"/>
              <w:ind w:left="20"/>
              <w:jc w:val="both"/>
            </w:pPr>
            <w:r>
              <w:rPr>
                <w:rFonts w:ascii="Times New Roman"/>
                <w:b w:val="false"/>
                <w:i w:val="false"/>
                <w:color w:val="000000"/>
                <w:sz w:val="20"/>
              </w:rPr>
              <w:t>
6) иные условия принудительной ликвидации или реорганизации эмитента, дочерней организации эмитента и зависимой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10 (десяти) рабочих дней после даты вступления в законную силу соответствующего решения суда.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передаче в залог (перезалог) имущества эмитента на сумму, составляющую десять и более процентов от размера общей балансовой стоимости активов данного эмитента, а также снятии с залога (перезалога) имущества эмитента на сумму, составляющую десять и более процентов от размера общей балансовой стоимости активов данного эмитента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32"/>
          <w:p>
            <w:pPr>
              <w:spacing w:after="20"/>
              <w:ind w:left="20"/>
              <w:jc w:val="both"/>
            </w:pPr>
            <w:r>
              <w:rPr>
                <w:rFonts w:ascii="Times New Roman"/>
                <w:b w:val="false"/>
                <w:i w:val="false"/>
                <w:color w:val="000000"/>
                <w:sz w:val="20"/>
              </w:rPr>
              <w:t>
1) дата принятия органом эмитента решения о передаче в залог (перезалог);</w:t>
            </w:r>
          </w:p>
          <w:bookmarkEnd w:id="32"/>
          <w:p>
            <w:pPr>
              <w:spacing w:after="20"/>
              <w:ind w:left="20"/>
              <w:jc w:val="both"/>
            </w:pPr>
            <w:r>
              <w:rPr>
                <w:rFonts w:ascii="Times New Roman"/>
                <w:b w:val="false"/>
                <w:i w:val="false"/>
                <w:color w:val="000000"/>
                <w:sz w:val="20"/>
              </w:rPr>
              <w:t>
</w:t>
            </w:r>
            <w:r>
              <w:rPr>
                <w:rFonts w:ascii="Times New Roman"/>
                <w:b w:val="false"/>
                <w:i w:val="false"/>
                <w:color w:val="000000"/>
                <w:sz w:val="20"/>
              </w:rPr>
              <w:t>2) дата возникновения права залога (перезалога) имущества эмитента;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стоимость имущества эмитента, передаваемого в залог (перезалог);</w:t>
            </w:r>
          </w:p>
          <w:p>
            <w:pPr>
              <w:spacing w:after="20"/>
              <w:ind w:left="20"/>
              <w:jc w:val="both"/>
            </w:pPr>
            <w:r>
              <w:rPr>
                <w:rFonts w:ascii="Times New Roman"/>
                <w:b w:val="false"/>
                <w:i w:val="false"/>
                <w:color w:val="000000"/>
                <w:sz w:val="20"/>
              </w:rPr>
              <w:t>
</w:t>
            </w:r>
            <w:r>
              <w:rPr>
                <w:rFonts w:ascii="Times New Roman"/>
                <w:b w:val="false"/>
                <w:i w:val="false"/>
                <w:color w:val="000000"/>
                <w:sz w:val="20"/>
              </w:rPr>
              <w:t>4) дата последней оценки имущества эмитента, передаваемого в залог (перезалог) (в случае, если проведение такой оценки требуется в соответствии с законодательством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процентное соотношение стоимости имущества, передаваемого в залог (перезалог), к общей стоимости активов данного эмитента на дату принятия органом эмитента решения о передаче в залог (перезалог) имущества эмитента;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6) дата снятия с залога (перезалога).</w:t>
            </w:r>
          </w:p>
          <w:p>
            <w:pPr>
              <w:spacing w:after="20"/>
              <w:ind w:left="20"/>
              <w:jc w:val="both"/>
            </w:pPr>
            <w:r>
              <w:rPr>
                <w:rFonts w:ascii="Times New Roman"/>
                <w:b w:val="false"/>
                <w:i w:val="false"/>
                <w:color w:val="000000"/>
                <w:sz w:val="20"/>
              </w:rPr>
              <w:t>
</w:t>
            </w:r>
            <w:r>
              <w:rPr>
                <w:rFonts w:ascii="Times New Roman"/>
                <w:b w:val="false"/>
                <w:i w:val="false"/>
                <w:color w:val="000000"/>
                <w:sz w:val="20"/>
              </w:rPr>
              <w:t>Если совершенная эмитентом сделка по передаче в залог (перезалог) имущества эмитента является одновременно крупной сделкой и (или) сделкой, в совершении которой эмитентом имеется заинтересованность, информация о такой сделке размещается только в соответствии с пунктом 12 настоящего приложения с указанием об этом.</w:t>
            </w:r>
          </w:p>
          <w:p>
            <w:pPr>
              <w:spacing w:after="20"/>
              <w:ind w:left="20"/>
              <w:jc w:val="both"/>
            </w:pPr>
            <w:r>
              <w:rPr>
                <w:rFonts w:ascii="Times New Roman"/>
                <w:b w:val="false"/>
                <w:i w:val="false"/>
                <w:color w:val="000000"/>
                <w:sz w:val="20"/>
              </w:rPr>
              <w:t>
Если договор о передаче в залог (перезалог) имущества эмитента содержит информацию, составляющую банковскую тайну, тайну страхования, коммерческую тайну на рынке ценных бумаг и иную тайну, охраняемую законами Республики Казахстан, при размещении информации о передаче в залог (перезалог) имущества публикуется только дата заключения договора, а также иная информация по решению эмитента при наличии согласия контрагента.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33"/>
          <w:p>
            <w:pPr>
              <w:spacing w:after="20"/>
              <w:ind w:left="20"/>
              <w:jc w:val="both"/>
            </w:pPr>
            <w:r>
              <w:rPr>
                <w:rFonts w:ascii="Times New Roman"/>
                <w:b w:val="false"/>
                <w:i w:val="false"/>
                <w:color w:val="000000"/>
                <w:sz w:val="20"/>
              </w:rPr>
              <w:t>
в течение 3 (трех) рабочих дней после даты:</w:t>
            </w:r>
          </w:p>
          <w:bookmarkEnd w:id="33"/>
          <w:p>
            <w:pPr>
              <w:spacing w:after="20"/>
              <w:ind w:left="20"/>
              <w:jc w:val="both"/>
            </w:pPr>
            <w:r>
              <w:rPr>
                <w:rFonts w:ascii="Times New Roman"/>
                <w:b w:val="false"/>
                <w:i w:val="false"/>
                <w:color w:val="000000"/>
                <w:sz w:val="20"/>
              </w:rPr>
              <w:t>
</w:t>
            </w:r>
            <w:r>
              <w:rPr>
                <w:rFonts w:ascii="Times New Roman"/>
                <w:b w:val="false"/>
                <w:i w:val="false"/>
                <w:color w:val="000000"/>
                <w:sz w:val="20"/>
              </w:rPr>
              <w:t>получения эмитентом документов, подтверждающих регистрацию договора о залоге (перезалоге) имущества эмитента на сумму, составляющую десять и более процентов от размера общей балансовой стоимости активов данного эмитента – в отношении имущества, залог которого подлежит регистрации в соответствии с законодательными актами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заключения договора о залоге (перезалоге) имущества эмитента на сумму, составляющую десять и более процентов от размера общей балансовой стоимости активов данного эмитента – в отношении имущества, залог которого не подлежит регистрации в соответствии с законодательными актами Республики Казахстан;</w:t>
            </w:r>
          </w:p>
          <w:p>
            <w:pPr>
              <w:spacing w:after="20"/>
              <w:ind w:left="20"/>
              <w:jc w:val="both"/>
            </w:pPr>
            <w:r>
              <w:rPr>
                <w:rFonts w:ascii="Times New Roman"/>
                <w:b w:val="false"/>
                <w:i w:val="false"/>
                <w:color w:val="000000"/>
                <w:sz w:val="20"/>
              </w:rPr>
              <w:t>
получения эмитентом документов, подтверждающих снятие с залога (перезалога) имущества эмитента на сумму, составляющую десять и более процентов от размера общей балансовой стоимости активов данного эмитента.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наложении ареста на имущество (снятии с ареста имущества) эмитента, стоимость которого составляет десять и более процентов от размера общей балансовой стоимости активов эмитента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34"/>
          <w:p>
            <w:pPr>
              <w:spacing w:after="20"/>
              <w:ind w:left="20"/>
              <w:jc w:val="both"/>
            </w:pPr>
            <w:r>
              <w:rPr>
                <w:rFonts w:ascii="Times New Roman"/>
                <w:b w:val="false"/>
                <w:i w:val="false"/>
                <w:color w:val="000000"/>
                <w:sz w:val="20"/>
              </w:rPr>
              <w:t>
1) дата, номер решения о наложении ареста на имущество (снятии с ареста имущества) эмитента, стоимость которого составляет десять и более процентов от размера общей балансовой стоимости активов эмитента;</w:t>
            </w:r>
          </w:p>
          <w:bookmarkEnd w:id="34"/>
          <w:p>
            <w:pPr>
              <w:spacing w:after="20"/>
              <w:ind w:left="20"/>
              <w:jc w:val="both"/>
            </w:pPr>
            <w:r>
              <w:rPr>
                <w:rFonts w:ascii="Times New Roman"/>
                <w:b w:val="false"/>
                <w:i w:val="false"/>
                <w:color w:val="000000"/>
                <w:sz w:val="20"/>
              </w:rPr>
              <w:t>
</w:t>
            </w:r>
            <w:r>
              <w:rPr>
                <w:rFonts w:ascii="Times New Roman"/>
                <w:b w:val="false"/>
                <w:i w:val="false"/>
                <w:color w:val="000000"/>
                <w:sz w:val="20"/>
              </w:rPr>
              <w:t>2) наименование государственного органа, принявшего решение об аресте (снятии с ареста имущества) имущества эмитента, стоимость которого составляет десять и более процентов от размера общей балансовой стоимости активов эмитента, основание наложения ареста;</w:t>
            </w:r>
          </w:p>
          <w:p>
            <w:pPr>
              <w:spacing w:after="20"/>
              <w:ind w:left="20"/>
              <w:jc w:val="both"/>
            </w:pPr>
            <w:r>
              <w:rPr>
                <w:rFonts w:ascii="Times New Roman"/>
                <w:b w:val="false"/>
                <w:i w:val="false"/>
                <w:color w:val="000000"/>
                <w:sz w:val="20"/>
              </w:rPr>
              <w:t>
3) наименование имущества эмитента, на которое наложен арест (снят арест) и его процентное соотношение к общей стоимости активов общества на дату ареста (снятия с ареста) имущества общества. В случае наложения ареста (снятия ареста) на деньги должника, находящиеся в банках, организациях, осуществляющих отдельные виды банковских операций, - указание суммы денег, на которую наложен арест (снят арест). В случае наложения ареста (снятия ареста) на ценные бумаги эмитента - общее количество арестованных (снятых с ареста) ценных бумаг, их вид, идентификационный номер, сведения об эмитенте данных ценных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3 (трех) рабочих дней после даты получения решения о наложении ареста на имущество (снятии с ареста имущества) эмитента, стоимость которого составляет десять и более процентов от размера общей балансовой стоимости активов эмитента.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получении эмитентом займа в размере, составляющем двадцать пять и более процентов от размера общей балансовой стоимости активов эмитента, а также о полном погашении основного долга и начисленного вознаграждения по данному займу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35"/>
          <w:p>
            <w:pPr>
              <w:spacing w:after="20"/>
              <w:ind w:left="20"/>
              <w:jc w:val="both"/>
            </w:pPr>
            <w:r>
              <w:rPr>
                <w:rFonts w:ascii="Times New Roman"/>
                <w:b w:val="false"/>
                <w:i w:val="false"/>
                <w:color w:val="000000"/>
                <w:sz w:val="20"/>
              </w:rPr>
              <w:t>
1) дата принятия органом эмитента решения о получении займа (кредитной линии);</w:t>
            </w:r>
          </w:p>
          <w:bookmarkEnd w:id="35"/>
          <w:p>
            <w:pPr>
              <w:spacing w:after="20"/>
              <w:ind w:left="20"/>
              <w:jc w:val="both"/>
            </w:pPr>
            <w:r>
              <w:rPr>
                <w:rFonts w:ascii="Times New Roman"/>
                <w:b w:val="false"/>
                <w:i w:val="false"/>
                <w:color w:val="000000"/>
                <w:sz w:val="20"/>
              </w:rPr>
              <w:t>
</w:t>
            </w:r>
            <w:r>
              <w:rPr>
                <w:rFonts w:ascii="Times New Roman"/>
                <w:b w:val="false"/>
                <w:i w:val="false"/>
                <w:color w:val="000000"/>
                <w:sz w:val="20"/>
              </w:rPr>
              <w:t>2) дата заключения договора о займе (кредитной линии);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общий размер займа (кредитной линии) эмитента, определенный договором;</w:t>
            </w:r>
          </w:p>
          <w:p>
            <w:pPr>
              <w:spacing w:after="20"/>
              <w:ind w:left="20"/>
              <w:jc w:val="both"/>
            </w:pPr>
            <w:r>
              <w:rPr>
                <w:rFonts w:ascii="Times New Roman"/>
                <w:b w:val="false"/>
                <w:i w:val="false"/>
                <w:color w:val="000000"/>
                <w:sz w:val="20"/>
              </w:rPr>
              <w:t>
</w:t>
            </w:r>
            <w:r>
              <w:rPr>
                <w:rFonts w:ascii="Times New Roman"/>
                <w:b w:val="false"/>
                <w:i w:val="false"/>
                <w:color w:val="000000"/>
                <w:sz w:val="20"/>
              </w:rPr>
              <w:t>4) цель получения эмитентом займа;</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процентное соотношение размера полученного эмитентом займа (кредитной линии) к общей балансовой стоимости активов эмитента на дату принятия органом эмитента решения о получении займа;</w:t>
            </w:r>
          </w:p>
          <w:p>
            <w:pPr>
              <w:spacing w:after="20"/>
              <w:ind w:left="20"/>
              <w:jc w:val="both"/>
            </w:pPr>
            <w:r>
              <w:rPr>
                <w:rFonts w:ascii="Times New Roman"/>
                <w:b w:val="false"/>
                <w:i w:val="false"/>
                <w:color w:val="000000"/>
                <w:sz w:val="20"/>
              </w:rPr>
              <w:t>
</w:t>
            </w:r>
            <w:r>
              <w:rPr>
                <w:rFonts w:ascii="Times New Roman"/>
                <w:b w:val="false"/>
                <w:i w:val="false"/>
                <w:color w:val="000000"/>
                <w:sz w:val="20"/>
              </w:rPr>
              <w:t>6) дата полного погашения основного долга и начисленного вознаграждения по данному займу (кредитной линии).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заключения эмитентом кредитной линии, составляющей двадцать пять и более процентов от размера общей балансовой стоимости активов эмитента, информация о данном событии подлежит дополнительному размещению, когда общая сумма выданных и непогашенных займов с учетом начисленного вознаграждения в рамках данной кредитной линии достигнет двадцать пять и более процентов от размера общей балансовой стоимости активов эмитента.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Если совершенная эмитентом сделка по получению займа является одновременно крупной сделкой и (или) сделкой, в совершении которой эмитентом имеется заинтересованность, информация о такой сделке размещается только в соответствии с пунктом 14 настоящего приложения с указанием об этом.</w:t>
            </w:r>
          </w:p>
          <w:p>
            <w:pPr>
              <w:spacing w:after="20"/>
              <w:ind w:left="20"/>
              <w:jc w:val="both"/>
            </w:pPr>
            <w:r>
              <w:rPr>
                <w:rFonts w:ascii="Times New Roman"/>
                <w:b w:val="false"/>
                <w:i w:val="false"/>
                <w:color w:val="000000"/>
                <w:sz w:val="20"/>
              </w:rPr>
              <w:t>
Если договор о получении эмитентом займа содержит информацию, составляющую банковскую тайну, тайну страхования, коммерческую тайну на рынке ценных бумаг и иную тайну, охраняемую законами Республики Казахстан, при размещении информации о получении эмитентом займа публикуется только дата заключения договора, а также иная информация по решению эмитента при наличии согласия контрагента.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36"/>
          <w:p>
            <w:pPr>
              <w:spacing w:after="20"/>
              <w:ind w:left="20"/>
              <w:jc w:val="both"/>
            </w:pPr>
            <w:r>
              <w:rPr>
                <w:rFonts w:ascii="Times New Roman"/>
                <w:b w:val="false"/>
                <w:i w:val="false"/>
                <w:color w:val="000000"/>
                <w:sz w:val="20"/>
              </w:rPr>
              <w:t>
в течение 3 (трех) рабочих дней после даты:</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заключения эмитентом договора о займе или кредитной линии в размере, составляющем, двадцать пять и более процентов от размера общей балансовой стоимости активов эмитента или полного погашения эмитентом основного долга и начисленного вознаграждения по данному займу или кредитной линии;</w:t>
            </w:r>
          </w:p>
          <w:p>
            <w:pPr>
              <w:spacing w:after="20"/>
              <w:ind w:left="20"/>
              <w:jc w:val="both"/>
            </w:pPr>
            <w:r>
              <w:rPr>
                <w:rFonts w:ascii="Times New Roman"/>
                <w:b w:val="false"/>
                <w:i w:val="false"/>
                <w:color w:val="000000"/>
                <w:sz w:val="20"/>
              </w:rPr>
              <w:t>
когда общая сумма полученных и непогашенных займов с учетом начисленного вознаграждения в рамках одной кредитной линии достигнет двадцать пять и более процентов от размера общей балансовой стоимости активов эмитента.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наступлении обстоятельств, носящих чрезвычайный характер, в результате которых было уничтожено имущество эмитента, балансовая стоимость которого составляла десять и более процентов от общего размера активов эмитента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37"/>
          <w:p>
            <w:pPr>
              <w:spacing w:after="20"/>
              <w:ind w:left="20"/>
              <w:jc w:val="both"/>
            </w:pPr>
            <w:r>
              <w:rPr>
                <w:rFonts w:ascii="Times New Roman"/>
                <w:b w:val="false"/>
                <w:i w:val="false"/>
                <w:color w:val="000000"/>
                <w:sz w:val="20"/>
              </w:rPr>
              <w:t>
1) дата наступления обстоятельств, носящих чрезвычайный характер, повлекших уничтожение имущества эмитента;</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2) наименование имущества эмитента, уничтоженного в связи с наступлением обстоятельств, носящих чрезвычайный характер;</w:t>
            </w:r>
          </w:p>
          <w:p>
            <w:pPr>
              <w:spacing w:after="20"/>
              <w:ind w:left="20"/>
              <w:jc w:val="both"/>
            </w:pPr>
            <w:r>
              <w:rPr>
                <w:rFonts w:ascii="Times New Roman"/>
                <w:b w:val="false"/>
                <w:i w:val="false"/>
                <w:color w:val="000000"/>
                <w:sz w:val="20"/>
              </w:rPr>
              <w:t>
3) балансовая стоимость уничтоженного имущества эмитента в результате наступления обстоятельств, носящих чрезвычайный характер.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10 (десяти) рабочих дней после даты наступления обстоятельств, носящих чрезвычайный характер, повлекших уничтожение имущества эмитента, балансовая стоимость которого составляла десять и более процентов от общего размера активов эмитента.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возбуждении в суде дела по корпоративному спору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38"/>
          <w:p>
            <w:pPr>
              <w:spacing w:after="20"/>
              <w:ind w:left="20"/>
              <w:jc w:val="both"/>
            </w:pPr>
            <w:r>
              <w:rPr>
                <w:rFonts w:ascii="Times New Roman"/>
                <w:b w:val="false"/>
                <w:i w:val="false"/>
                <w:color w:val="000000"/>
                <w:sz w:val="20"/>
              </w:rPr>
              <w:t>
1) сведения об истце, ответчике по корпоративному спору (фамилия, имя, отчество (при его наличии) (для физического лица), полное наименование, место нахождения (для юридического лица));</w:t>
            </w:r>
          </w:p>
          <w:bookmarkEnd w:id="38"/>
          <w:p>
            <w:pPr>
              <w:spacing w:after="20"/>
              <w:ind w:left="20"/>
              <w:jc w:val="both"/>
            </w:pPr>
            <w:r>
              <w:rPr>
                <w:rFonts w:ascii="Times New Roman"/>
                <w:b w:val="false"/>
                <w:i w:val="false"/>
                <w:color w:val="000000"/>
                <w:sz w:val="20"/>
              </w:rPr>
              <w:t>
</w:t>
            </w:r>
            <w:r>
              <w:rPr>
                <w:rFonts w:ascii="Times New Roman"/>
                <w:b w:val="false"/>
                <w:i w:val="false"/>
                <w:color w:val="000000"/>
                <w:sz w:val="20"/>
              </w:rPr>
              <w:t>2) дата искового заявления, краткое содержание исковых требований;</w:t>
            </w:r>
          </w:p>
          <w:p>
            <w:pPr>
              <w:spacing w:after="20"/>
              <w:ind w:left="20"/>
              <w:jc w:val="both"/>
            </w:pPr>
            <w:r>
              <w:rPr>
                <w:rFonts w:ascii="Times New Roman"/>
                <w:b w:val="false"/>
                <w:i w:val="false"/>
                <w:color w:val="000000"/>
                <w:sz w:val="20"/>
              </w:rPr>
              <w:t>
3) наименование суда, в котором рассматривается исковое заявление по корпоративному спору.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3 (трех) рабочих дней после даты получения эмитентом соответствующего судебного извещения (вызова) по гражданскому делу по корпоративному спору.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получении (прекращении, приостановлении) разрешений первой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39"/>
          <w:p>
            <w:pPr>
              <w:spacing w:after="20"/>
              <w:ind w:left="20"/>
              <w:jc w:val="both"/>
            </w:pPr>
            <w:r>
              <w:rPr>
                <w:rFonts w:ascii="Times New Roman"/>
                <w:b w:val="false"/>
                <w:i w:val="false"/>
                <w:color w:val="000000"/>
                <w:sz w:val="20"/>
              </w:rPr>
              <w:t>
1) наименование разрешительного органа, выдавшего разрешение первой категории, принявшего решение о приостановлении, прекращении действия разрешения первой категории;</w:t>
            </w:r>
          </w:p>
          <w:bookmarkEnd w:id="39"/>
          <w:p>
            <w:pPr>
              <w:spacing w:after="20"/>
              <w:ind w:left="20"/>
              <w:jc w:val="both"/>
            </w:pPr>
            <w:r>
              <w:rPr>
                <w:rFonts w:ascii="Times New Roman"/>
                <w:b w:val="false"/>
                <w:i w:val="false"/>
                <w:color w:val="000000"/>
                <w:sz w:val="20"/>
              </w:rPr>
              <w:t>
</w:t>
            </w:r>
            <w:r>
              <w:rPr>
                <w:rFonts w:ascii="Times New Roman"/>
                <w:b w:val="false"/>
                <w:i w:val="false"/>
                <w:color w:val="000000"/>
                <w:sz w:val="20"/>
              </w:rPr>
              <w:t>2) дата выдачи, номер разрешения первой категории, срок действия разрешения;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наименование вида деятельности, которое будет осуществляться в соответствии с разрешением первой категории;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дата принятия разрешительным органом решений о приостановлении (сроке приостановления), дате возобновления действия разрешения первой категории;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основание приостановления (возобновления) разрешения первой категории;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наименование вида деятельности, разрешение, на осуществление которого было приостановлено (возобновлено);</w:t>
            </w:r>
          </w:p>
          <w:p>
            <w:pPr>
              <w:spacing w:after="20"/>
              <w:ind w:left="20"/>
              <w:jc w:val="both"/>
            </w:pPr>
            <w:r>
              <w:rPr>
                <w:rFonts w:ascii="Times New Roman"/>
                <w:b w:val="false"/>
                <w:i w:val="false"/>
                <w:color w:val="000000"/>
                <w:sz w:val="20"/>
              </w:rPr>
              <w:t>
</w:t>
            </w:r>
            <w:r>
              <w:rPr>
                <w:rFonts w:ascii="Times New Roman"/>
                <w:b w:val="false"/>
                <w:i w:val="false"/>
                <w:color w:val="000000"/>
                <w:sz w:val="20"/>
              </w:rPr>
              <w:t>7) дата принятия разрешительным органом решения о прекращении действия разрешения первой категории;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8) основание прекращения действия разрешения первой категории;</w:t>
            </w:r>
          </w:p>
          <w:p>
            <w:pPr>
              <w:spacing w:after="20"/>
              <w:ind w:left="20"/>
              <w:jc w:val="both"/>
            </w:pPr>
            <w:r>
              <w:rPr>
                <w:rFonts w:ascii="Times New Roman"/>
                <w:b w:val="false"/>
                <w:i w:val="false"/>
                <w:color w:val="000000"/>
                <w:sz w:val="20"/>
              </w:rPr>
              <w:t>
9) наименование вида деятельности, разрешение, на осуществление которого было прекращено.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3 (трех) рабочих дней после даты получения эмитентом документов о получении (прекращении, приостановлении) разрешений первой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изменении эмитентом негосударственных ценных бумаг основных видов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40"/>
          <w:p>
            <w:pPr>
              <w:spacing w:after="20"/>
              <w:ind w:left="20"/>
              <w:jc w:val="both"/>
            </w:pPr>
            <w:r>
              <w:rPr>
                <w:rFonts w:ascii="Times New Roman"/>
                <w:b w:val="false"/>
                <w:i w:val="false"/>
                <w:color w:val="000000"/>
                <w:sz w:val="20"/>
              </w:rPr>
              <w:t>
1) дата принятия решения об изменении основных видов деятельности;</w:t>
            </w:r>
          </w:p>
          <w:bookmarkEnd w:id="40"/>
          <w:p>
            <w:pPr>
              <w:spacing w:after="20"/>
              <w:ind w:left="20"/>
              <w:jc w:val="both"/>
            </w:pPr>
            <w:r>
              <w:rPr>
                <w:rFonts w:ascii="Times New Roman"/>
                <w:b w:val="false"/>
                <w:i w:val="false"/>
                <w:color w:val="000000"/>
                <w:sz w:val="20"/>
              </w:rPr>
              <w:t>
</w:t>
            </w:r>
            <w:r>
              <w:rPr>
                <w:rFonts w:ascii="Times New Roman"/>
                <w:b w:val="false"/>
                <w:i w:val="false"/>
                <w:color w:val="000000"/>
                <w:sz w:val="20"/>
              </w:rPr>
              <w:t>2) наименование измененных видов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дата государственной регистрации устава и (или) изменений в устав эмитента;</w:t>
            </w:r>
          </w:p>
          <w:p>
            <w:pPr>
              <w:spacing w:after="20"/>
              <w:ind w:left="20"/>
              <w:jc w:val="both"/>
            </w:pPr>
            <w:r>
              <w:rPr>
                <w:rFonts w:ascii="Times New Roman"/>
                <w:b w:val="false"/>
                <w:i w:val="false"/>
                <w:color w:val="000000"/>
                <w:sz w:val="20"/>
              </w:rPr>
              <w:t>
4) сканированная копия устава и (или) изменений в устав.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3 (трех) рабочих дней после даты получения зарегистрированного в уполномоченном органе устава и (или) изменений в устав.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определения стоимости акций при их выкупе акционерным обществом на неорганизованном рынке ценных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41"/>
          <w:p>
            <w:pPr>
              <w:spacing w:after="20"/>
              <w:ind w:left="20"/>
              <w:jc w:val="both"/>
            </w:pPr>
            <w:r>
              <w:rPr>
                <w:rFonts w:ascii="Times New Roman"/>
                <w:b w:val="false"/>
                <w:i w:val="false"/>
                <w:color w:val="000000"/>
                <w:sz w:val="20"/>
              </w:rPr>
              <w:t>
1) дата решения, принятого общим собранием учредителей (единственным учредителем)</w:t>
            </w:r>
          </w:p>
          <w:bookmarkEnd w:id="41"/>
          <w:p>
            <w:pPr>
              <w:spacing w:after="20"/>
              <w:ind w:left="20"/>
              <w:jc w:val="both"/>
            </w:pPr>
            <w:r>
              <w:rPr>
                <w:rFonts w:ascii="Times New Roman"/>
                <w:b w:val="false"/>
                <w:i w:val="false"/>
                <w:color w:val="000000"/>
                <w:sz w:val="20"/>
              </w:rPr>
              <w:t>
</w:t>
            </w:r>
            <w:r>
              <w:rPr>
                <w:rFonts w:ascii="Times New Roman"/>
                <w:b w:val="false"/>
                <w:i w:val="false"/>
                <w:color w:val="000000"/>
                <w:sz w:val="20"/>
              </w:rPr>
              <w:t>2) дата решения, принятого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общим собранием акционеров (единственным акционером) акционерного общества об утверждении методики, если она не была утверждена учредительным собранием;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3) дата решения, принятого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общим собранием акционеров (единственным акционером) акционерного общества об утверждении изменений в методику;</w:t>
            </w:r>
          </w:p>
          <w:p>
            <w:pPr>
              <w:spacing w:after="20"/>
              <w:ind w:left="20"/>
              <w:jc w:val="both"/>
            </w:pPr>
            <w:r>
              <w:rPr>
                <w:rFonts w:ascii="Times New Roman"/>
                <w:b w:val="false"/>
                <w:i w:val="false"/>
                <w:color w:val="000000"/>
                <w:sz w:val="20"/>
              </w:rPr>
              <w:t xml:space="preserve">
 4) электронный вариант методики в формате PDF со всеми изменениями и дополнениями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10 (десяти) рабочих дней после даты получения документов, подтверждающих государственную регистрацию уполномоченным органом проспекта выпуска акций, в случае утверждения методики на учредительном собрании (единственным учредителем) акционерного общества или в течение 10 (десяти) рабочих дней после даты принятия решения общим собранием акционеров (единственным акционером) в случае утверждения методики и (или) изменений в методику на общем собрании акционеров общества (единственным акционером).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иных событиях, затрагивающих интересы акционеров (участников) эмитента и (или) инвесторов, в соответствии с уставом и проспектом выпуска эмиссионных ценных бумаг эмитента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42"/>
          <w:p>
            <w:pPr>
              <w:spacing w:after="20"/>
              <w:ind w:left="20"/>
              <w:jc w:val="both"/>
            </w:pPr>
            <w:r>
              <w:rPr>
                <w:rFonts w:ascii="Times New Roman"/>
                <w:b w:val="false"/>
                <w:i w:val="false"/>
                <w:color w:val="000000"/>
                <w:sz w:val="20"/>
              </w:rPr>
              <w:t>
1) сведения, затрагивающие интересы акционеров (участников) эмитента и (или) инвесторов, в соответствии с уставом и проспектом выпуска эмиссионных ценных бумаг эмитента;</w:t>
            </w:r>
          </w:p>
          <w:bookmarkEnd w:id="42"/>
          <w:p>
            <w:pPr>
              <w:spacing w:after="20"/>
              <w:ind w:left="20"/>
              <w:jc w:val="both"/>
            </w:pPr>
            <w:r>
              <w:rPr>
                <w:rFonts w:ascii="Times New Roman"/>
                <w:b w:val="false"/>
                <w:i w:val="false"/>
                <w:color w:val="000000"/>
                <w:sz w:val="20"/>
              </w:rPr>
              <w:t>
</w:t>
            </w:r>
            <w:r>
              <w:rPr>
                <w:rFonts w:ascii="Times New Roman"/>
                <w:b w:val="false"/>
                <w:i w:val="false"/>
                <w:color w:val="000000"/>
                <w:sz w:val="20"/>
              </w:rPr>
              <w:t>2) при несоблюдении эмитентом условий, предусмотренных проспектом выпуска негосударственных облигаций:</w:t>
            </w:r>
          </w:p>
          <w:p>
            <w:pPr>
              <w:spacing w:after="20"/>
              <w:ind w:left="20"/>
              <w:jc w:val="both"/>
            </w:pPr>
            <w:r>
              <w:rPr>
                <w:rFonts w:ascii="Times New Roman"/>
                <w:b w:val="false"/>
                <w:i w:val="false"/>
                <w:color w:val="000000"/>
                <w:sz w:val="20"/>
              </w:rPr>
              <w:t>
объем неисполненных обязательств, причина неисполнения обязательств, с указанием национального идентификационного номера (НИН) или международного идентификационного номера (ISIN) облигаций, вида облигаций, количества размещенных облигаций, размера купонной ставки, даты дефолта, суммы задолженности по купонному вознаграждению, суммы задолженности по основному долгу, остатка неурегулированного долга.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43"/>
          <w:p>
            <w:pPr>
              <w:spacing w:after="20"/>
              <w:ind w:left="20"/>
              <w:jc w:val="both"/>
            </w:pPr>
            <w:r>
              <w:rPr>
                <w:rFonts w:ascii="Times New Roman"/>
                <w:b w:val="false"/>
                <w:i w:val="false"/>
                <w:color w:val="000000"/>
                <w:sz w:val="20"/>
              </w:rPr>
              <w:t>
 в течение 3 (трех) рабочих дней после даты возникновения иных событий, затрагивающих интересы акционеров (участников) эмитента и (или) инвесторов, в соответствии с уставом и проспектом выпуска эмиссионных ценных бумаг эмитента, если законом Республики Казахстан "Об акционерных обществах" и Законом о рынке ценных бумаг не предусмотрены иные сроки доведения до сведения держателей ценных бумаг информации.</w:t>
            </w:r>
          </w:p>
          <w:bookmarkEnd w:id="43"/>
          <w:p>
            <w:pPr>
              <w:spacing w:after="20"/>
              <w:ind w:left="20"/>
              <w:jc w:val="both"/>
            </w:pPr>
            <w:r>
              <w:rPr>
                <w:rFonts w:ascii="Times New Roman"/>
                <w:b w:val="false"/>
                <w:i w:val="false"/>
                <w:color w:val="000000"/>
                <w:sz w:val="20"/>
              </w:rPr>
              <w:t>
в течение 3 (трех) рабочих дней после даты несоблюдения эмитентом условий, предусмотренных проспектом выпуска негосударственных облигаций.</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