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5e01" w14:textId="4eb5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нормативов энергопотребления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декабря 2022 года № 717. Зарегистрирован в Министерстве юстиции Республики Казахстан 15 декабря 2022 года № 31136.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нормативов энергопотребления.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717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нормативов энергопотребления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и.о. Министра промышленности и строительства РК от 25.09.2024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нормативов энергопотребления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и применяется в целях определения нормативов энергопотребления зданий, промышленных и производственных процессов субъектов Государственного энергетического реестра.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определяет подходы по расчету нормативов энергопотребления зданий, промышленных и производственных процессов субъектов Государственного энергетического реестра.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Методике: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аффилиированными с ними в соответствии с законодательными актами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– некоммерческая организация, созданная государством и содержащаяся только за счет бюджета или бюджета (сметы расходов) Национального Банка Республики Казахстан, если дополнительные источники финансирования не установлены законами Республики Казахстан, для осуществления управленческих, социально-культурных или иных функций некоммерческого характера;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энергетический реестр (далее – ГЭР) – систематизированный свод информации о субъектах Государственного энергетического реестра;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ГЭР –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государственные учреждения, субъекты квазигосударственного сектора и естественных монополий.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нормативов энергопотребления зданий субъектов Государственного энергетического реестра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Нормативы энергопотребления рассчитываются в отношении зданий субъектов Государственного энергетического реестра, которые распределяются по нижеуказанным видам деятельности в соответствии с "Общим классификатором видов экономической деятельности НК РК 03-2019", утвержденного приказом исполняющего обязанности Председателя Комитета технического регулирования и метрологии Министерства индустрии и инфраструктурного развития Республики Казахстан от 22 февраля 2019 года № 68-од "О некоторых вопросах стандартизации":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исследования и разработки;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прочая профессиональная, научная и техническая деятельность;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ветеринарная деятельность;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управление и оборона, обязательное социальное обеспечение;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образование;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 в области здравоохранения;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деятельность в области социального обслуживания населения с обеспечением проживания;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 в области социального обслуживания населения без обеспечения проживания;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деятельность в области творчества, искусства и развлечений;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деятельность библиотек, архивов, музеев и прочая деятельность в области культуры;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деятельность в области спорта, организации отдыха и развлечений;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операции с недвижимым имуществом.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Нормативы энергопотребления зданий субъектов Государственного энергетического реестра рассчитываются с обязательным учетом: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критериев климатического районирования Республики Казахстан согласно Своду Правил Республики Казахстан 2.04-01-2017, утвержденного приказом Комитета по делам строительства и жилищно–коммунального хозяйства Министерства по инвестициям и развитию Республики Казахстан от 20 декабря 2017 года № 312-НҚ "Строительная климатология";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 отопления (централизованное, автономное);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 энергетического ресурса.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норматива энергопотребления зданий субъектов Государственного энергетического реестра рассчитывается удельный расход энергетических ресурсов на единицу отапливаемой площади зданий субъектов Государственного энергетического реестра.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Удельный расход энергетических ресурсов на единицу отапливаемой площади рассчитывается по следующей формуле: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orm</w:t>
      </w:r>
      <w:r>
        <w:rPr>
          <w:rFonts w:ascii="Times New Roman"/>
          <w:b w:val="false"/>
          <w:i w:val="false"/>
          <w:color w:val="000000"/>
          <w:sz w:val="28"/>
        </w:rPr>
        <w:t xml:space="preserve"> = n/A,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orm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расход энергетических ресурсов на единицу отапливаемой площади (соответствующая единица измерения);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объем энергетического ресурса (тепловая энергия - Гигакалорий, уголь каменный - тонна, газ природный – метр кубический, электроэнергия - киловатт-час);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отопливаемая площадь помещения (квадратный метр).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определения нормативов энергопотребления зданий субъектов Государственного энергетического реестра используются фактические данные по удельному расходу энергетических ресурсов на единицу отапливаемой площади.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рамках анализа данных ГЭР по видам деятельности субъектов Государственного энергетического реестра, климатического районирования, типов отопления, типов энергетических ресурсов, объемов энергетических ресурсов и отопливаемых площадей помещений определяется среднее значение удельного расхода энергетических ресурсов на единицу отапливаемой площади, которое будет являться нормативом энергопотребления зданий субъектов Государственного энергетического реестра: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orm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= (N</w:t>
      </w:r>
      <w:r>
        <w:rPr>
          <w:rFonts w:ascii="Times New Roman"/>
          <w:b w:val="false"/>
          <w:i w:val="false"/>
          <w:color w:val="000000"/>
          <w:vertAlign w:val="subscript"/>
        </w:rPr>
        <w:t>orm1</w:t>
      </w:r>
      <w:r>
        <w:rPr>
          <w:rFonts w:ascii="Times New Roman"/>
          <w:b w:val="false"/>
          <w:i w:val="false"/>
          <w:color w:val="000000"/>
          <w:sz w:val="28"/>
        </w:rPr>
        <w:t xml:space="preserve"> + N</w:t>
      </w:r>
      <w:r>
        <w:rPr>
          <w:rFonts w:ascii="Times New Roman"/>
          <w:b w:val="false"/>
          <w:i w:val="false"/>
          <w:color w:val="000000"/>
          <w:vertAlign w:val="subscript"/>
        </w:rPr>
        <w:t>orm2</w:t>
      </w:r>
      <w:r>
        <w:rPr>
          <w:rFonts w:ascii="Times New Roman"/>
          <w:b w:val="false"/>
          <w:i w:val="false"/>
          <w:color w:val="000000"/>
          <w:sz w:val="28"/>
        </w:rPr>
        <w:t xml:space="preserve"> + ... N</w:t>
      </w:r>
      <w:r>
        <w:rPr>
          <w:rFonts w:ascii="Times New Roman"/>
          <w:b w:val="false"/>
          <w:i w:val="false"/>
          <w:color w:val="000000"/>
          <w:vertAlign w:val="subscript"/>
        </w:rPr>
        <w:t>orm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)/N,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ormср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удельного расхода энергетических ресурсов на единицу отапливаемой площади;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orm1,2...х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расход энергетических ресурсов на единицу отапливаемой площади зданий субъектов Государственного энергетического реестра;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субъектов Государственного энергетического реестра.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нормативов энергопотребления для промышленных и производственных процессов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Нормативы энергопотребления рассчитываются для промышленных и производственных процессов, которые распределяются по нижеуказанным видам деятельности в соответствии с "Общим классификатором видов экономической деятельности НК РК 03-2019" утвержденного приказом исполняющего обязанности Председателя Комитета технического регулирования и метрологии Министерства индустрии и инфраструктурного развития Республики Казахстан от 22 февраля 2019 года № 68-од "О некоторых вопросах стандартизации":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горнодобывающая промышленность и разработка карьеров: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сырой нефти и природного газа;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прочих полезных ископаемых;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обрабатывающая промышленность;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кокса и продуктов нефтепереработки: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продуктов нефтепереработки);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продуктов химической промышленности: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промышленных газов;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прочих основных неорганических химических веществ;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удобрений и азотосодержащих соединений;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удобрений;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азотосодержащих соединений;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пластмасс в первичных формах;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красок, лаков и аналогичных покрытий, типографской краски и мастик;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других химических продуктов;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искусственных и синтетических волокон;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прочей не металлической минеральной продукции: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стекла и изделий из стекла;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огнеупорных изделий;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цемента;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извести и строительного гипса;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сборных железобетонных и бетонных конструкций и изделий;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силикатного кирпича;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изделий из асбестоцемента и волокнистого цемента;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металлургическое производство: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чугуна, стали и ферросплавов;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труб, трубок, полых профилей, фитингов из стали;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благородных (драгоценных) металлов;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алюминия;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свинца, цинка и олова;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меди;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прочих цветных металлов;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сурьмы и ртути);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прочего электрического оборудования;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электроэнергии: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электроэнергии тепловыми электростанциями;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электроэнергии прочими электростанциями;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гидроэлектростанциями;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снабжение паром, горячей водой и кондиционированным воздухом;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распределение тепловой энергии;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 сухопутного и трубопроводного транспорта: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трубопроводного транспорта.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качестве нормативов энергопотребления промышленных и производственных процессов принимается удельный расход топливно-энергетических ресурсов на производство единицы продукции, за исключением следующих видов экономической деятельности: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электроэнергии: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тепловыми электростанциями;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прочими электростанциями;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гидроэлектростанциями);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снабжение паром, горячей водой и кондиционированным воздухом;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распределение тепловой энергии;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сухопутного и трубопроводного транспорта;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трубопроводного транспорта.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Удельный расход топливно-энергетических ресурсов на производство единицы продукции рассчитывается по следующей формуле: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orm</w:t>
      </w:r>
      <w:r>
        <w:rPr>
          <w:rFonts w:ascii="Times New Roman"/>
          <w:b w:val="false"/>
          <w:i w:val="false"/>
          <w:color w:val="000000"/>
          <w:sz w:val="28"/>
        </w:rPr>
        <w:t xml:space="preserve"> = n/ВП,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orm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расход топливно-энергетических ресурсов на производство единицы продукции;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объем топливно-энергетических ресурсов (тонн условного топлива);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 – количество выпущенной продукции (тонна/ метр кубический).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нормативов энергопотребления промышленных и производственных процессов по виду экономической деятельности: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электроэнергии: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электроэнергии тепловыми электростанциями;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электроэнергии прочими электростанциями;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гидроэлектростанциями.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норматива энергопотребления принимается максимальная нагрузка (мощность/расход) собственных нужд (СН) электростанции от суммарной нагрузки (от установленной мощности/расхода станции).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нагрузка собственных нужд электростанции рассчитывается одним из двух способов: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как медианное почасовых значений за период при наличии системы учета потребления электроэнергии;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формуле путем суммирования установленной мощности отдельных приемников собственных нужд, умноженной на коэффициенты спроса: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Sс.н.max=S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S2 К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+…+S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Sс.н.max – сумма установленной мощности отдельных приемников собственных нужд, умноженной на коэффициенты спроса;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S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…S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приемники собственных нужд электростанции;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с1</w:t>
      </w:r>
      <w:r>
        <w:rPr>
          <w:rFonts w:ascii="Times New Roman"/>
          <w:b w:val="false"/>
          <w:i w:val="false"/>
          <w:color w:val="000000"/>
          <w:sz w:val="28"/>
        </w:rPr>
        <w:t>, К</w:t>
      </w:r>
      <w:r>
        <w:rPr>
          <w:rFonts w:ascii="Times New Roman"/>
          <w:b w:val="false"/>
          <w:i w:val="false"/>
          <w:color w:val="000000"/>
          <w:vertAlign w:val="subscript"/>
        </w:rPr>
        <w:t>с2</w:t>
      </w:r>
      <w:r>
        <w:rPr>
          <w:rFonts w:ascii="Times New Roman"/>
          <w:b w:val="false"/>
          <w:i w:val="false"/>
          <w:color w:val="000000"/>
          <w:sz w:val="28"/>
        </w:rPr>
        <w:t>…К</w:t>
      </w:r>
      <w:r>
        <w:rPr>
          <w:rFonts w:ascii="Times New Roman"/>
          <w:b w:val="false"/>
          <w:i w:val="false"/>
          <w:color w:val="000000"/>
          <w:vertAlign w:val="subscript"/>
        </w:rPr>
        <w:t>сn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спроса приемников собственных нужд, учитывающий использование установленной мощности и одновременность их работы.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спроса приемников собственных нужд (К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приемника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открытое распределительное устройство (ОРУ):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одном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нескольких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помещений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Охлаждение трансформаторов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Зарядно-подзарядные устройства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Электроподогрев выключателей и электроотопление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 электроэнергии на собственные нужды тепловых электростанций зависит от типа и единичной мощности агрегатов, установленных на электростанции, а также от типа топлива и способа его сжигания. </w:t>
      </w:r>
    </w:p>
    <w:bookmarkEnd w:id="156"/>
    <w:bookmarkStart w:name="z20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нормативов энергопотребления промышленных и производственных процессов по виду экономической деятельности:</w:t>
      </w:r>
    </w:p>
    <w:bookmarkEnd w:id="157"/>
    <w:bookmarkStart w:name="z21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снабжение паром, горячей водой и кондиционированным воздухом:</w:t>
      </w:r>
    </w:p>
    <w:bookmarkEnd w:id="158"/>
    <w:bookmarkStart w:name="z2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распределение тепловой энергии.</w:t>
      </w:r>
    </w:p>
    <w:bookmarkEnd w:id="159"/>
    <w:bookmarkStart w:name="z21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норматива энергопотребления принимаются нормативы часовых тепловых потерь (плотности теплового потока) через тепловую изоляцию для тепловых сетей.</w:t>
      </w:r>
    </w:p>
    <w:bookmarkEnd w:id="160"/>
    <w:bookmarkStart w:name="z21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часовых тепловых потерь при среднегодовых условиях работы тепловой сети по нормам тепловых потерь осуществляется раздельно для подземного и надземного способа прокладки трасс по подающему (1) и обратному (2) трубопроводам для каждого из участков по формулам:</w:t>
      </w:r>
    </w:p>
    <w:bookmarkEnd w:id="161"/>
    <w:bookmarkStart w:name="z21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63"/>
    <w:bookmarkStart w:name="z2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2019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тепловые потери при среднегодовых условиях работы тепловой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7874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усредненный расход сетевой воды в подающей линии на выходе из теплоподготовительной установки, килограмм/секунду (тонна/час)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7620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усредненный расход подпиточной воды, килограмм/секунду (тонна/час);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12700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усредненные температуры воды в начале и конце подающего трубопровода на участке,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12700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усредненные температуры воды в начале и конце обратного трубопровода на участке,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удельная теплоемкость сетевой воды, принимается равной 4,19×103 Джоуль/( килограмм × градусов Цельсия) или 1 килокалорий/( килограмм × градусов Цельсия).</w:t>
      </w:r>
    </w:p>
    <w:bookmarkEnd w:id="169"/>
    <w:bookmarkStart w:name="z22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нормативов энергопотребления промышленных и производственных процессов по виду экономической деятельности:</w:t>
      </w:r>
    </w:p>
    <w:bookmarkEnd w:id="170"/>
    <w:bookmarkStart w:name="z22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сухопутного и трубопроводного транспорта:</w:t>
      </w:r>
    </w:p>
    <w:bookmarkEnd w:id="171"/>
    <w:bookmarkStart w:name="z22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трубопроводного транспорта.</w:t>
      </w:r>
    </w:p>
    <w:bookmarkEnd w:id="172"/>
    <w:bookmarkStart w:name="z22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норматива энергопотребления принимается расход электроэнергии на основное, вспомогательное оборудование и собственные нужды, участвующее в транспортировке нефти с учетом производительности нефтеперекачивающей станции.</w:t>
      </w:r>
    </w:p>
    <w:bookmarkEnd w:id="173"/>
    <w:bookmarkStart w:name="z22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электроэнергии непосредственно на работу основного оборудования на одну нефтеперекачивающую станцию, рассчитывается по следующей формуле:</w:t>
      </w:r>
    </w:p>
    <w:bookmarkEnd w:id="174"/>
    <w:bookmarkStart w:name="z22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55118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76"/>
    <w:bookmarkStart w:name="z2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774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расход электроэнергии непосредственно на работу насосных агрегатов нефтеперекачивающей станции, тысяч киловатт *час/год;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- заданная часовая производительность нефтепровода, метр кубический/час;</w:t>
      </w:r>
    </w:p>
    <w:bookmarkEnd w:id="178"/>
    <w:bookmarkStart w:name="z2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потери напора на перекачку нефти по магистральному нефтепроводу, при расчетном диаметре Др, метр;</w:t>
      </w:r>
    </w:p>
    <w:bookmarkEnd w:id="179"/>
    <w:bookmarkStart w:name="z2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потери напора на перекачку нефти по подводящим трубопроводам и в коммуникациях нефтеперекачивающих станций, метр;</w:t>
      </w:r>
    </w:p>
    <w:bookmarkEnd w:id="180"/>
    <w:bookmarkStart w:name="z2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К=1,03 - коэффициент запаса, учитывающий потери напора на дросселирование потока нефти по нефтепроводу, включая потери при переходных процессах;</w:t>
      </w:r>
    </w:p>
    <w:bookmarkEnd w:id="181"/>
    <w:bookmarkStart w:name="z2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плотность нефти, тонна/ метр кубический;</w:t>
      </w:r>
    </w:p>
    <w:bookmarkEnd w:id="182"/>
    <w:bookmarkStart w:name="z2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ускорение свободного падения;</w:t>
      </w:r>
    </w:p>
    <w:bookmarkEnd w:id="183"/>
    <w:bookmarkStart w:name="z2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ƞ н - коэффициент полезного действия насосов;</w:t>
      </w:r>
    </w:p>
    <w:bookmarkEnd w:id="184"/>
    <w:bookmarkStart w:name="z2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ƞ э - коэффициент полезного действия электродвигателей.</w:t>
      </w:r>
    </w:p>
    <w:bookmarkEnd w:id="185"/>
    <w:bookmarkStart w:name="z2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электроэнергии на нужды вспомогательного производства и собственные нужды нефтеперекачивающей станции, рассчитывается по следующей формуле:</w:t>
      </w:r>
    </w:p>
    <w:bookmarkEnd w:id="186"/>
    <w:bookmarkStart w:name="z2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*N</w:t>
      </w:r>
      <w:r>
        <w:rPr>
          <w:rFonts w:ascii="Times New Roman"/>
          <w:b w:val="false"/>
          <w:i w:val="false"/>
          <w:color w:val="000000"/>
          <w:vertAlign w:val="subscript"/>
        </w:rPr>
        <w:t>вп</w:t>
      </w:r>
      <w:r>
        <w:rPr>
          <w:rFonts w:ascii="Times New Roman"/>
          <w:b w:val="false"/>
          <w:i w:val="false"/>
          <w:color w:val="000000"/>
          <w:sz w:val="28"/>
        </w:rPr>
        <w:t>*t</w:t>
      </w:r>
      <w:r>
        <w:rPr>
          <w:rFonts w:ascii="Times New Roman"/>
          <w:b w:val="false"/>
          <w:i w:val="false"/>
          <w:color w:val="000000"/>
          <w:vertAlign w:val="subscript"/>
        </w:rPr>
        <w:t>вп</w:t>
      </w:r>
      <w:r>
        <w:rPr>
          <w:rFonts w:ascii="Times New Roman"/>
          <w:b w:val="false"/>
          <w:i w:val="false"/>
          <w:color w:val="000000"/>
          <w:sz w:val="28"/>
        </w:rPr>
        <w:t xml:space="preserve"> + К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* N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>*t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87"/>
    <w:bookmarkStart w:name="z2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88"/>
    <w:bookmarkStart w:name="z2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расход электроэнергии на нужды вспомогательного производства и собственные нужды нефтеперекачивающей станции;</w:t>
      </w:r>
    </w:p>
    <w:bookmarkEnd w:id="189"/>
    <w:bookmarkStart w:name="z2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загрузки оборудования;</w:t>
      </w:r>
    </w:p>
    <w:bookmarkEnd w:id="190"/>
    <w:bookmarkStart w:name="z2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вп</w:t>
      </w:r>
      <w:r>
        <w:rPr>
          <w:rFonts w:ascii="Times New Roman"/>
          <w:b w:val="false"/>
          <w:i w:val="false"/>
          <w:color w:val="000000"/>
          <w:sz w:val="28"/>
        </w:rPr>
        <w:t>, N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суммарная мощность одновременно работающего оборудования, кВт; </w:t>
      </w:r>
    </w:p>
    <w:bookmarkEnd w:id="191"/>
    <w:bookmarkStart w:name="z2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вп</w:t>
      </w:r>
      <w:r>
        <w:rPr>
          <w:rFonts w:ascii="Times New Roman"/>
          <w:b w:val="false"/>
          <w:i w:val="false"/>
          <w:color w:val="000000"/>
          <w:sz w:val="28"/>
        </w:rPr>
        <w:t>, t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продолжительность работы оборудования, часы.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