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5722" w14:textId="50d5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12 декабря 2022 года № 122. Зарегистрирован в Министерстве юстиции Республики Казахстан 14 декабря 2022 года № 31098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 (зарегистрирован в Реестре государственной регистрации нормативных правовых актов за № 14167)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с 1 января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2022 года №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19" w:id="10"/>
    <w:p>
      <w:pPr>
        <w:spacing w:after="0"/>
        <w:ind w:left="0"/>
        <w:jc w:val="left"/>
      </w:pPr>
      <w:r>
        <w:rPr>
          <w:rFonts w:ascii="Times New Roman"/>
          <w:b/>
          <w:i w:val="false"/>
          <w:color w:val="000000"/>
        </w:rPr>
        <w:t xml:space="preserve">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(далее – Закон),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w:t>
      </w:r>
      <w:r>
        <w:rPr>
          <w:rFonts w:ascii="Times New Roman"/>
          <w:b w:val="false"/>
          <w:i w:val="false"/>
          <w:color w:val="000000"/>
          <w:sz w:val="28"/>
        </w:rPr>
        <w:t>Формами</w:t>
      </w:r>
      <w:r>
        <w:rPr>
          <w:rFonts w:ascii="Times New Roman"/>
          <w:b w:val="false"/>
          <w:i w:val="false"/>
          <w:color w:val="000000"/>
          <w:sz w:val="28"/>
        </w:rPr>
        <w:t xml:space="preserve"> проверочного листа,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12"/>
    <w:bookmarkStart w:name="z22" w:id="13"/>
    <w:p>
      <w:pPr>
        <w:spacing w:after="0"/>
        <w:ind w:left="0"/>
        <w:jc w:val="both"/>
      </w:pPr>
      <w:r>
        <w:rPr>
          <w:rFonts w:ascii="Times New Roman"/>
          <w:b w:val="false"/>
          <w:i w:val="false"/>
          <w:color w:val="000000"/>
          <w:sz w:val="28"/>
        </w:rPr>
        <w:t>
      2. В данных Критериях использованы следующие понятия:</w:t>
      </w:r>
    </w:p>
    <w:bookmarkEnd w:id="13"/>
    <w:bookmarkStart w:name="z23" w:id="14"/>
    <w:p>
      <w:pPr>
        <w:spacing w:after="0"/>
        <w:ind w:left="0"/>
        <w:jc w:val="both"/>
      </w:pPr>
      <w:r>
        <w:rPr>
          <w:rFonts w:ascii="Times New Roman"/>
          <w:b w:val="false"/>
          <w:i w:val="false"/>
          <w:color w:val="000000"/>
          <w:sz w:val="28"/>
        </w:rPr>
        <w:t>
      1) субъект контроля – индивидуальные предприниматели и юридические лица, в том числе филиалы и представительства юридических лиц, являющиеся субъектами естественной монополии и (или) общественно значимых рынков;</w:t>
      </w:r>
    </w:p>
    <w:bookmarkEnd w:id="14"/>
    <w:bookmarkStart w:name="z24" w:id="15"/>
    <w:p>
      <w:pPr>
        <w:spacing w:after="0"/>
        <w:ind w:left="0"/>
        <w:jc w:val="both"/>
      </w:pPr>
      <w:r>
        <w:rPr>
          <w:rFonts w:ascii="Times New Roman"/>
          <w:b w:val="false"/>
          <w:i w:val="false"/>
          <w:color w:val="000000"/>
          <w:sz w:val="28"/>
        </w:rPr>
        <w:t>
      2) незначительные нарушения – ненадлежащее размещение, публикация, доведение до сведения и уведомление потребителей и предоставление субъектами естественных монополий и общественно значимых рынков информации, отчета, уведомлений в уполномоченный орган; не заключение в соответствии с типовыми договорами, договоров с потребителями; отчуждение имущества не на торгах; взимание платы за предоставление информации о свободных мощностях; неисполнение тарифной сметы и инвестиционной программы; наличие одной подтвержденной жалобы или обращения по несоблюдению требований законодательства Республики Казахстан субъектами в области общественно значимых рынков;</w:t>
      </w:r>
    </w:p>
    <w:bookmarkEnd w:id="15"/>
    <w:bookmarkStart w:name="z25" w:id="16"/>
    <w:p>
      <w:pPr>
        <w:spacing w:after="0"/>
        <w:ind w:left="0"/>
        <w:jc w:val="both"/>
      </w:pPr>
      <w:r>
        <w:rPr>
          <w:rFonts w:ascii="Times New Roman"/>
          <w:b w:val="false"/>
          <w:i w:val="false"/>
          <w:color w:val="000000"/>
          <w:sz w:val="28"/>
        </w:rPr>
        <w:t>
      3) значительные нарушения – наличие одной подтвержденной жалобы или обращения по несоблюдению требований законодательства Республики Казахстан о естественных монополий, неисполнение или ненадлежащее исполнение субъектами естественных монополий и общественно значимых рынков обязанностей, ограничений и требований, регламентированных законодательством Республики Казахстан о естественных монополиях и в области общественно значимых рынков, за исключением обязанностей, ограничений и требований предусматривающих незначительные и грубые нарушения; не соблюдение требований по обращению с заявлением в уполномоченный орган для утверждения тарифа, а также о включении в Государственный регистр субъектов естественных монополий, об исключении из него;</w:t>
      </w:r>
    </w:p>
    <w:bookmarkEnd w:id="16"/>
    <w:bookmarkStart w:name="z26" w:id="17"/>
    <w:p>
      <w:pPr>
        <w:spacing w:after="0"/>
        <w:ind w:left="0"/>
        <w:jc w:val="both"/>
      </w:pPr>
      <w:r>
        <w:rPr>
          <w:rFonts w:ascii="Times New Roman"/>
          <w:b w:val="false"/>
          <w:i w:val="false"/>
          <w:color w:val="000000"/>
          <w:sz w:val="28"/>
        </w:rPr>
        <w:t>
      4) грубые нарушения – необоснованный доход (выручка), полученный субъектами естественных монополий и общественно значимых рынков в результате нарушения законодательства Республики Казахстан;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 и общественно значимых рынках;</w:t>
      </w:r>
    </w:p>
    <w:bookmarkEnd w:id="17"/>
    <w:bookmarkStart w:name="z27" w:id="18"/>
    <w:p>
      <w:pPr>
        <w:spacing w:after="0"/>
        <w:ind w:left="0"/>
        <w:jc w:val="both"/>
      </w:pPr>
      <w:r>
        <w:rPr>
          <w:rFonts w:ascii="Times New Roman"/>
          <w:b w:val="false"/>
          <w:i w:val="false"/>
          <w:color w:val="000000"/>
          <w:sz w:val="28"/>
        </w:rPr>
        <w:t>
      5) риск в сфере предоставления услуг (товаров, работ), отнесенных к естественным монополиям и общественно значимых рынков – вероятность причинения вреда законным интересам физических и юридических лиц;</w:t>
      </w:r>
    </w:p>
    <w:bookmarkEnd w:id="18"/>
    <w:bookmarkStart w:name="z28" w:id="19"/>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19"/>
    <w:bookmarkStart w:name="z29" w:id="2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0"/>
    <w:bookmarkStart w:name="z30" w:id="21"/>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1"/>
    <w:bookmarkStart w:name="z31" w:id="22"/>
    <w:p>
      <w:pPr>
        <w:spacing w:after="0"/>
        <w:ind w:left="0"/>
        <w:jc w:val="both"/>
      </w:pPr>
      <w:r>
        <w:rPr>
          <w:rFonts w:ascii="Times New Roman"/>
          <w:b w:val="false"/>
          <w:i w:val="false"/>
          <w:color w:val="000000"/>
          <w:sz w:val="28"/>
        </w:rPr>
        <w:t>
      9) проверочный лист – перечень обязательных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22"/>
    <w:bookmarkStart w:name="z32" w:id="23"/>
    <w:p>
      <w:pPr>
        <w:spacing w:after="0"/>
        <w:ind w:left="0"/>
        <w:jc w:val="both"/>
      </w:pPr>
      <w:r>
        <w:rPr>
          <w:rFonts w:ascii="Times New Roman"/>
          <w:b w:val="false"/>
          <w:i w:val="false"/>
          <w:color w:val="000000"/>
          <w:sz w:val="28"/>
        </w:rPr>
        <w:t>
      10) уполномоченный орган – государственный орган, осуществляющий руководство в соответствующих сферах естественных монополий.</w:t>
      </w:r>
    </w:p>
    <w:bookmarkEnd w:id="23"/>
    <w:bookmarkStart w:name="z33" w:id="24"/>
    <w:p>
      <w:pPr>
        <w:spacing w:after="0"/>
        <w:ind w:left="0"/>
        <w:jc w:val="both"/>
      </w:pPr>
      <w:r>
        <w:rPr>
          <w:rFonts w:ascii="Times New Roman"/>
          <w:b w:val="false"/>
          <w:i w:val="false"/>
          <w:color w:val="000000"/>
          <w:sz w:val="28"/>
        </w:rPr>
        <w:t>
      3. Для сфер деятельности субъектов (объектов) контроля, отнесенных к высокой 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4"/>
    <w:bookmarkStart w:name="z34" w:id="25"/>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проводятся профилактический контроль без посещения субъекта (объекта) контроля и внеплановая проверка.</w:t>
      </w:r>
    </w:p>
    <w:bookmarkEnd w:id="25"/>
    <w:bookmarkStart w:name="z35" w:id="26"/>
    <w:p>
      <w:pPr>
        <w:spacing w:after="0"/>
        <w:ind w:left="0"/>
        <w:jc w:val="both"/>
      </w:pPr>
      <w:r>
        <w:rPr>
          <w:rFonts w:ascii="Times New Roman"/>
          <w:b w:val="false"/>
          <w:i w:val="false"/>
          <w:color w:val="000000"/>
          <w:sz w:val="28"/>
        </w:rPr>
        <w:t>
      4. Критерии оценки степени риска для проведения профилактического контроля субъектов (объектов) контроля формируются посредством определения объективных и субъективных критериев.</w:t>
      </w:r>
    </w:p>
    <w:bookmarkEnd w:id="26"/>
    <w:bookmarkStart w:name="z36" w:id="27"/>
    <w:p>
      <w:pPr>
        <w:spacing w:after="0"/>
        <w:ind w:left="0"/>
        <w:jc w:val="left"/>
      </w:pPr>
      <w:r>
        <w:rPr>
          <w:rFonts w:ascii="Times New Roman"/>
          <w:b/>
          <w:i w:val="false"/>
          <w:color w:val="000000"/>
        </w:rPr>
        <w:t xml:space="preserve"> Глава 2. Объективные критерии</w:t>
      </w:r>
    </w:p>
    <w:bookmarkEnd w:id="27"/>
    <w:bookmarkStart w:name="z37" w:id="28"/>
    <w:p>
      <w:pPr>
        <w:spacing w:after="0"/>
        <w:ind w:left="0"/>
        <w:jc w:val="both"/>
      </w:pPr>
      <w:r>
        <w:rPr>
          <w:rFonts w:ascii="Times New Roman"/>
          <w:b w:val="false"/>
          <w:i w:val="false"/>
          <w:color w:val="000000"/>
          <w:sz w:val="28"/>
        </w:rPr>
        <w:t>
      5. Государственные органы для целей управления рисками при осуществлении профилактического контроля с посещением субъекта (объекта) контроля относят субъекты (объекты) контроля к одной из следующих степеням риска (далее – степени риска):</w:t>
      </w:r>
    </w:p>
    <w:bookmarkEnd w:id="28"/>
    <w:bookmarkStart w:name="z38" w:id="29"/>
    <w:p>
      <w:pPr>
        <w:spacing w:after="0"/>
        <w:ind w:left="0"/>
        <w:jc w:val="both"/>
      </w:pPr>
      <w:r>
        <w:rPr>
          <w:rFonts w:ascii="Times New Roman"/>
          <w:b w:val="false"/>
          <w:i w:val="false"/>
          <w:color w:val="000000"/>
          <w:sz w:val="28"/>
        </w:rPr>
        <w:t>
      1) высокий риск;</w:t>
      </w:r>
    </w:p>
    <w:bookmarkEnd w:id="29"/>
    <w:bookmarkStart w:name="z39" w:id="30"/>
    <w:p>
      <w:pPr>
        <w:spacing w:after="0"/>
        <w:ind w:left="0"/>
        <w:jc w:val="both"/>
      </w:pPr>
      <w:r>
        <w:rPr>
          <w:rFonts w:ascii="Times New Roman"/>
          <w:b w:val="false"/>
          <w:i w:val="false"/>
          <w:color w:val="000000"/>
          <w:sz w:val="28"/>
        </w:rPr>
        <w:t>
      2) средний риск;</w:t>
      </w:r>
    </w:p>
    <w:bookmarkEnd w:id="30"/>
    <w:bookmarkStart w:name="z40" w:id="31"/>
    <w:p>
      <w:pPr>
        <w:spacing w:after="0"/>
        <w:ind w:left="0"/>
        <w:jc w:val="both"/>
      </w:pPr>
      <w:r>
        <w:rPr>
          <w:rFonts w:ascii="Times New Roman"/>
          <w:b w:val="false"/>
          <w:i w:val="false"/>
          <w:color w:val="000000"/>
          <w:sz w:val="28"/>
        </w:rPr>
        <w:t>
      3) низкий риск.</w:t>
      </w:r>
    </w:p>
    <w:bookmarkEnd w:id="31"/>
    <w:bookmarkStart w:name="z41" w:id="32"/>
    <w:p>
      <w:pPr>
        <w:spacing w:after="0"/>
        <w:ind w:left="0"/>
        <w:jc w:val="both"/>
      </w:pPr>
      <w:r>
        <w:rPr>
          <w:rFonts w:ascii="Times New Roman"/>
          <w:b w:val="false"/>
          <w:i w:val="false"/>
          <w:color w:val="000000"/>
          <w:sz w:val="28"/>
        </w:rPr>
        <w:t>
      6. В сферах естественных монополий к высокой степени риска относятся субъекты естественных монополий,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 и получившие необоснованный доход (выручку), а также субъекты общественно значимого рынка.</w:t>
      </w:r>
    </w:p>
    <w:bookmarkEnd w:id="32"/>
    <w:bookmarkStart w:name="z42" w:id="33"/>
    <w:p>
      <w:pPr>
        <w:spacing w:after="0"/>
        <w:ind w:left="0"/>
        <w:jc w:val="both"/>
      </w:pPr>
      <w:r>
        <w:rPr>
          <w:rFonts w:ascii="Times New Roman"/>
          <w:b w:val="false"/>
          <w:i w:val="false"/>
          <w:color w:val="000000"/>
          <w:sz w:val="28"/>
        </w:rPr>
        <w:t>
      В сферах естественных монополий к средней степени риска относятся субъекты естественных монополий,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w:t>
      </w:r>
    </w:p>
    <w:bookmarkEnd w:id="33"/>
    <w:bookmarkStart w:name="z43" w:id="34"/>
    <w:p>
      <w:pPr>
        <w:spacing w:after="0"/>
        <w:ind w:left="0"/>
        <w:jc w:val="both"/>
      </w:pPr>
      <w:r>
        <w:rPr>
          <w:rFonts w:ascii="Times New Roman"/>
          <w:b w:val="false"/>
          <w:i w:val="false"/>
          <w:color w:val="000000"/>
          <w:sz w:val="28"/>
        </w:rPr>
        <w:t>
      В сфере естественных монополий к низкой степени риска относятся вновь созданные субъекты естественных монополий, оказывающие регулируемые услуги отнесенные к сфере естественных монополий менее одного календарного года.</w:t>
      </w:r>
    </w:p>
    <w:bookmarkEnd w:id="34"/>
    <w:bookmarkStart w:name="z44" w:id="35"/>
    <w:p>
      <w:pPr>
        <w:spacing w:after="0"/>
        <w:ind w:left="0"/>
        <w:jc w:val="left"/>
      </w:pPr>
      <w:r>
        <w:rPr>
          <w:rFonts w:ascii="Times New Roman"/>
          <w:b/>
          <w:i w:val="false"/>
          <w:color w:val="000000"/>
        </w:rPr>
        <w:t xml:space="preserve"> Глава 3. Субъективные критерии</w:t>
      </w:r>
    </w:p>
    <w:bookmarkEnd w:id="35"/>
    <w:bookmarkStart w:name="z45" w:id="36"/>
    <w:p>
      <w:pPr>
        <w:spacing w:after="0"/>
        <w:ind w:left="0"/>
        <w:jc w:val="both"/>
      </w:pP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p>
    <w:bookmarkEnd w:id="36"/>
    <w:bookmarkStart w:name="z46" w:id="37"/>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При этом, степень тяжести (грубое, значительное, незначительное) устанавливается в случае несоблюдения требований законодательства, отраженных в проверочных листах;</w:t>
      </w:r>
    </w:p>
    <w:bookmarkEnd w:id="37"/>
    <w:bookmarkStart w:name="z47" w:id="38"/>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bookmarkEnd w:id="38"/>
    <w:bookmarkStart w:name="z48" w:id="39"/>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и средств массовой информации;</w:t>
      </w:r>
    </w:p>
    <w:bookmarkEnd w:id="39"/>
    <w:bookmarkStart w:name="z49" w:id="40"/>
    <w:p>
      <w:pPr>
        <w:spacing w:after="0"/>
        <w:ind w:left="0"/>
        <w:jc w:val="both"/>
      </w:pPr>
      <w:r>
        <w:rPr>
          <w:rFonts w:ascii="Times New Roman"/>
          <w:b w:val="false"/>
          <w:i w:val="false"/>
          <w:color w:val="000000"/>
          <w:sz w:val="28"/>
        </w:rPr>
        <w:t>
      4)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bookmarkEnd w:id="40"/>
    <w:bookmarkStart w:name="z50" w:id="41"/>
    <w:p>
      <w:pPr>
        <w:spacing w:after="0"/>
        <w:ind w:left="0"/>
        <w:jc w:val="both"/>
      </w:pPr>
      <w:r>
        <w:rPr>
          <w:rFonts w:ascii="Times New Roman"/>
          <w:b w:val="false"/>
          <w:i w:val="false"/>
          <w:color w:val="000000"/>
          <w:sz w:val="28"/>
        </w:rPr>
        <w:t>
      5)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41"/>
    <w:bookmarkStart w:name="z51" w:id="42"/>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42"/>
    <w:bookmarkStart w:name="z52" w:id="43"/>
    <w:p>
      <w:pPr>
        <w:spacing w:after="0"/>
        <w:ind w:left="0"/>
        <w:jc w:val="both"/>
      </w:pPr>
      <w:r>
        <w:rPr>
          <w:rFonts w:ascii="Times New Roman"/>
          <w:b w:val="false"/>
          <w:i w:val="false"/>
          <w:color w:val="000000"/>
          <w:sz w:val="28"/>
        </w:rPr>
        <w:t>
      1) формирование базы данных и сбор информации;</w:t>
      </w:r>
    </w:p>
    <w:bookmarkEnd w:id="43"/>
    <w:bookmarkStart w:name="z53" w:id="44"/>
    <w:p>
      <w:pPr>
        <w:spacing w:after="0"/>
        <w:ind w:left="0"/>
        <w:jc w:val="both"/>
      </w:pPr>
      <w:r>
        <w:rPr>
          <w:rFonts w:ascii="Times New Roman"/>
          <w:b w:val="false"/>
          <w:i w:val="false"/>
          <w:color w:val="000000"/>
          <w:sz w:val="28"/>
        </w:rPr>
        <w:t>
      2) анализ информации и оценка рисков.</w:t>
      </w:r>
    </w:p>
    <w:bookmarkEnd w:id="44"/>
    <w:bookmarkStart w:name="z54" w:id="45"/>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45"/>
    <w:bookmarkStart w:name="z55" w:id="46"/>
    <w:p>
      <w:pPr>
        <w:spacing w:after="0"/>
        <w:ind w:left="0"/>
        <w:jc w:val="both"/>
      </w:pPr>
      <w:r>
        <w:rPr>
          <w:rFonts w:ascii="Times New Roman"/>
          <w:b w:val="false"/>
          <w:i w:val="false"/>
          <w:color w:val="000000"/>
          <w:sz w:val="28"/>
        </w:rPr>
        <w:t>
      Субъективные критерии определены для субъектов естественных монополий согласно приложению 1 и за соблюдением порядка ценообразования и обязанностей субъекта общественно значимого рынка согласно приложению 2 к настоящим Критериям.</w:t>
      </w:r>
    </w:p>
    <w:bookmarkEnd w:id="46"/>
    <w:bookmarkStart w:name="z56" w:id="47"/>
    <w:p>
      <w:pPr>
        <w:spacing w:after="0"/>
        <w:ind w:left="0"/>
        <w:jc w:val="both"/>
      </w:pPr>
      <w:r>
        <w:rPr>
          <w:rFonts w:ascii="Times New Roman"/>
          <w:b w:val="false"/>
          <w:i w:val="false"/>
          <w:color w:val="000000"/>
          <w:sz w:val="28"/>
        </w:rPr>
        <w:t>
      10. Для отнесения субъекта контроля к степени риска применяется следующий порядок расчета показателя степени риска.</w:t>
      </w:r>
    </w:p>
    <w:bookmarkEnd w:id="47"/>
    <w:bookmarkStart w:name="z57" w:id="48"/>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48"/>
    <w:bookmarkStart w:name="z58" w:id="49"/>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49"/>
    <w:bookmarkStart w:name="z59" w:id="5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0"/>
    <w:bookmarkStart w:name="z60" w:id="51"/>
    <w:p>
      <w:pPr>
        <w:spacing w:after="0"/>
        <w:ind w:left="0"/>
        <w:jc w:val="both"/>
      </w:pPr>
      <w:r>
        <w:rPr>
          <w:rFonts w:ascii="Times New Roman"/>
          <w:b w:val="false"/>
          <w:i w:val="false"/>
          <w:color w:val="000000"/>
          <w:sz w:val="28"/>
        </w:rPr>
        <w:t>
      SРз = (SР2 х 100/SР1) х 0,7, где:</w:t>
      </w:r>
    </w:p>
    <w:bookmarkEnd w:id="51"/>
    <w:bookmarkStart w:name="z61" w:id="52"/>
    <w:p>
      <w:pPr>
        <w:spacing w:after="0"/>
        <w:ind w:left="0"/>
        <w:jc w:val="both"/>
      </w:pPr>
      <w:r>
        <w:rPr>
          <w:rFonts w:ascii="Times New Roman"/>
          <w:b w:val="false"/>
          <w:i w:val="false"/>
          <w:color w:val="000000"/>
          <w:sz w:val="28"/>
        </w:rPr>
        <w:t>
      SРз – показатель значительных нарушений;</w:t>
      </w:r>
    </w:p>
    <w:bookmarkEnd w:id="52"/>
    <w:bookmarkStart w:name="z62" w:id="53"/>
    <w:p>
      <w:pPr>
        <w:spacing w:after="0"/>
        <w:ind w:left="0"/>
        <w:jc w:val="both"/>
      </w:pPr>
      <w:r>
        <w:rPr>
          <w:rFonts w:ascii="Times New Roman"/>
          <w:b w:val="false"/>
          <w:i w:val="false"/>
          <w:color w:val="000000"/>
          <w:sz w:val="28"/>
        </w:rPr>
        <w:t>
      SР1 – требуемое количество значительных нарушений;</w:t>
      </w:r>
    </w:p>
    <w:bookmarkEnd w:id="53"/>
    <w:bookmarkStart w:name="z63" w:id="54"/>
    <w:p>
      <w:pPr>
        <w:spacing w:after="0"/>
        <w:ind w:left="0"/>
        <w:jc w:val="both"/>
      </w:pPr>
      <w:r>
        <w:rPr>
          <w:rFonts w:ascii="Times New Roman"/>
          <w:b w:val="false"/>
          <w:i w:val="false"/>
          <w:color w:val="000000"/>
          <w:sz w:val="28"/>
        </w:rPr>
        <w:t>
      SР2 – количество выявленных значительных нарушений;</w:t>
      </w:r>
    </w:p>
    <w:bookmarkEnd w:id="54"/>
    <w:bookmarkStart w:name="z64" w:id="5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5"/>
    <w:bookmarkStart w:name="z65" w:id="56"/>
    <w:p>
      <w:pPr>
        <w:spacing w:after="0"/>
        <w:ind w:left="0"/>
        <w:jc w:val="both"/>
      </w:pPr>
      <w:r>
        <w:rPr>
          <w:rFonts w:ascii="Times New Roman"/>
          <w:b w:val="false"/>
          <w:i w:val="false"/>
          <w:color w:val="000000"/>
          <w:sz w:val="28"/>
        </w:rPr>
        <w:t>
      SРн = (SР2 х 100/SР1) х 0,3, где:</w:t>
      </w:r>
    </w:p>
    <w:bookmarkEnd w:id="56"/>
    <w:bookmarkStart w:name="z66" w:id="57"/>
    <w:p>
      <w:pPr>
        <w:spacing w:after="0"/>
        <w:ind w:left="0"/>
        <w:jc w:val="both"/>
      </w:pPr>
      <w:r>
        <w:rPr>
          <w:rFonts w:ascii="Times New Roman"/>
          <w:b w:val="false"/>
          <w:i w:val="false"/>
          <w:color w:val="000000"/>
          <w:sz w:val="28"/>
        </w:rPr>
        <w:t>
      SРн – показатель незначительных нарушений;</w:t>
      </w:r>
    </w:p>
    <w:bookmarkEnd w:id="57"/>
    <w:bookmarkStart w:name="z67" w:id="58"/>
    <w:p>
      <w:pPr>
        <w:spacing w:after="0"/>
        <w:ind w:left="0"/>
        <w:jc w:val="both"/>
      </w:pPr>
      <w:r>
        <w:rPr>
          <w:rFonts w:ascii="Times New Roman"/>
          <w:b w:val="false"/>
          <w:i w:val="false"/>
          <w:color w:val="000000"/>
          <w:sz w:val="28"/>
        </w:rPr>
        <w:t>
      SР1 – требуемое количество незначительных нарушений;</w:t>
      </w:r>
    </w:p>
    <w:bookmarkEnd w:id="58"/>
    <w:bookmarkStart w:name="z68" w:id="59"/>
    <w:p>
      <w:pPr>
        <w:spacing w:after="0"/>
        <w:ind w:left="0"/>
        <w:jc w:val="both"/>
      </w:pPr>
      <w:r>
        <w:rPr>
          <w:rFonts w:ascii="Times New Roman"/>
          <w:b w:val="false"/>
          <w:i w:val="false"/>
          <w:color w:val="000000"/>
          <w:sz w:val="28"/>
        </w:rPr>
        <w:t>
      SР2 – количество выявленных незначительных нарушений;</w:t>
      </w:r>
    </w:p>
    <w:bookmarkEnd w:id="59"/>
    <w:bookmarkStart w:name="z69" w:id="60"/>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 SР = SРз + SРн, где:</w:t>
      </w:r>
    </w:p>
    <w:bookmarkEnd w:id="60"/>
    <w:bookmarkStart w:name="z70" w:id="61"/>
    <w:p>
      <w:pPr>
        <w:spacing w:after="0"/>
        <w:ind w:left="0"/>
        <w:jc w:val="both"/>
      </w:pPr>
      <w:r>
        <w:rPr>
          <w:rFonts w:ascii="Times New Roman"/>
          <w:b w:val="false"/>
          <w:i w:val="false"/>
          <w:color w:val="000000"/>
          <w:sz w:val="28"/>
        </w:rPr>
        <w:t>
      SР – общий показатель степени риска;</w:t>
      </w:r>
    </w:p>
    <w:bookmarkEnd w:id="61"/>
    <w:bookmarkStart w:name="z71" w:id="62"/>
    <w:p>
      <w:pPr>
        <w:spacing w:after="0"/>
        <w:ind w:left="0"/>
        <w:jc w:val="both"/>
      </w:pPr>
      <w:r>
        <w:rPr>
          <w:rFonts w:ascii="Times New Roman"/>
          <w:b w:val="false"/>
          <w:i w:val="false"/>
          <w:color w:val="000000"/>
          <w:sz w:val="28"/>
        </w:rPr>
        <w:t>
      SРз – показатель значительных нарушений;</w:t>
      </w:r>
    </w:p>
    <w:bookmarkEnd w:id="62"/>
    <w:bookmarkStart w:name="z72" w:id="63"/>
    <w:p>
      <w:pPr>
        <w:spacing w:after="0"/>
        <w:ind w:left="0"/>
        <w:jc w:val="both"/>
      </w:pPr>
      <w:r>
        <w:rPr>
          <w:rFonts w:ascii="Times New Roman"/>
          <w:b w:val="false"/>
          <w:i w:val="false"/>
          <w:color w:val="000000"/>
          <w:sz w:val="28"/>
        </w:rPr>
        <w:t>
      SРн – показатель незначительных нарушений.</w:t>
      </w:r>
    </w:p>
    <w:bookmarkEnd w:id="63"/>
    <w:bookmarkStart w:name="z73" w:id="64"/>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64"/>
    <w:bookmarkStart w:name="z74" w:id="65"/>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5"/>
    <w:bookmarkStart w:name="z75" w:id="66"/>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6"/>
    <w:bookmarkStart w:name="z76" w:id="67"/>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7"/>
    <w:bookmarkStart w:name="z77" w:id="68"/>
    <w:p>
      <w:pPr>
        <w:spacing w:after="0"/>
        <w:ind w:left="0"/>
        <w:jc w:val="both"/>
      </w:pPr>
      <w:r>
        <w:rPr>
          <w:rFonts w:ascii="Times New Roman"/>
          <w:b w:val="false"/>
          <w:i w:val="false"/>
          <w:color w:val="000000"/>
          <w:sz w:val="28"/>
        </w:rPr>
        <w:t>
      11.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69"/>
    <w:bookmarkStart w:name="z79" w:id="70"/>
    <w:p>
      <w:pPr>
        <w:spacing w:after="0"/>
        <w:ind w:left="0"/>
        <w:jc w:val="both"/>
      </w:pPr>
      <w:r>
        <w:rPr>
          <w:rFonts w:ascii="Times New Roman"/>
          <w:b w:val="false"/>
          <w:i w:val="false"/>
          <w:color w:val="000000"/>
          <w:sz w:val="28"/>
        </w:rPr>
        <w:t>
      12.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со статьей 144-2 Кодекса.</w:t>
      </w:r>
    </w:p>
    <w:bookmarkEnd w:id="70"/>
    <w:bookmarkStart w:name="z80" w:id="71"/>
    <w:p>
      <w:pPr>
        <w:spacing w:after="0"/>
        <w:ind w:left="0"/>
        <w:jc w:val="both"/>
      </w:pPr>
      <w:r>
        <w:rPr>
          <w:rFonts w:ascii="Times New Roman"/>
          <w:b w:val="false"/>
          <w:i w:val="false"/>
          <w:color w:val="000000"/>
          <w:sz w:val="28"/>
        </w:rPr>
        <w:t>
      13.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71"/>
    <w:bookmarkStart w:name="z81" w:id="72"/>
    <w:p>
      <w:pPr>
        <w:spacing w:after="0"/>
        <w:ind w:left="0"/>
        <w:jc w:val="left"/>
      </w:pPr>
      <w:r>
        <w:rPr>
          <w:rFonts w:ascii="Times New Roman"/>
          <w:b/>
          <w:i w:val="false"/>
          <w:color w:val="000000"/>
        </w:rPr>
        <w:t xml:space="preserve"> Глава 4. Управление рисками</w:t>
      </w:r>
    </w:p>
    <w:bookmarkEnd w:id="72"/>
    <w:bookmarkStart w:name="z82" w:id="73"/>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регулирующего государственного органа, посредством применения субъективных критериев.</w:t>
      </w:r>
    </w:p>
    <w:bookmarkEnd w:id="73"/>
    <w:bookmarkStart w:name="z83" w:id="74"/>
    <w:p>
      <w:pPr>
        <w:spacing w:after="0"/>
        <w:ind w:left="0"/>
        <w:jc w:val="both"/>
      </w:pPr>
      <w:r>
        <w:rPr>
          <w:rFonts w:ascii="Times New Roman"/>
          <w:b w:val="false"/>
          <w:i w:val="false"/>
          <w:color w:val="000000"/>
          <w:sz w:val="28"/>
        </w:rPr>
        <w:t>
      15.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74"/>
    <w:bookmarkStart w:name="z84" w:id="75"/>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75"/>
    <w:bookmarkStart w:name="z85" w:id="76"/>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w:t>
      </w:r>
    </w:p>
    <w:bookmarkEnd w:id="76"/>
    <w:bookmarkStart w:name="z86" w:id="77"/>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77"/>
    <w:bookmarkStart w:name="z87" w:id="78"/>
    <w:p>
      <w:pPr>
        <w:spacing w:after="0"/>
        <w:ind w:left="0"/>
        <w:jc w:val="both"/>
      </w:pPr>
      <w:r>
        <w:rPr>
          <w:rFonts w:ascii="Times New Roman"/>
          <w:b w:val="false"/>
          <w:i w:val="false"/>
          <w:color w:val="000000"/>
          <w:sz w:val="28"/>
        </w:rPr>
        <w:t xml:space="preserve">
      16. Регулирующие государственные органы, а также государственные органы при осуществлении государственного контроля за членом (участником) саморегулируемой организации, основанной на добровольном членстве (участии), учитывают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пунктом 10 </w:t>
      </w:r>
      <w:r>
        <w:rPr>
          <w:rFonts w:ascii="Times New Roman"/>
          <w:b w:val="false"/>
          <w:i w:val="false"/>
          <w:color w:val="000000"/>
          <w:sz w:val="28"/>
        </w:rPr>
        <w:t>статьи 141</w:t>
      </w:r>
      <w:r>
        <w:rPr>
          <w:rFonts w:ascii="Times New Roman"/>
          <w:b w:val="false"/>
          <w:i w:val="false"/>
          <w:color w:val="000000"/>
          <w:sz w:val="28"/>
        </w:rPr>
        <w:t xml:space="preserve"> Кодекса.</w:t>
      </w:r>
    </w:p>
    <w:bookmarkEnd w:id="78"/>
    <w:bookmarkStart w:name="z88" w:id="79"/>
    <w:p>
      <w:pPr>
        <w:spacing w:after="0"/>
        <w:ind w:left="0"/>
        <w:jc w:val="both"/>
      </w:pPr>
      <w:r>
        <w:rPr>
          <w:rFonts w:ascii="Times New Roman"/>
          <w:b w:val="false"/>
          <w:i w:val="false"/>
          <w:color w:val="000000"/>
          <w:sz w:val="28"/>
        </w:rPr>
        <w:t>
      17. В целях освобождения от профилактического контроля с посещением субъекта (объекта) контроля, регулирующими государственными органами, а также государственными органами учитываются смягчающие индикаторы.</w:t>
      </w:r>
    </w:p>
    <w:bookmarkEnd w:id="79"/>
    <w:bookmarkStart w:name="z89" w:id="80"/>
    <w:p>
      <w:pPr>
        <w:spacing w:after="0"/>
        <w:ind w:left="0"/>
        <w:jc w:val="both"/>
      </w:pPr>
      <w:r>
        <w:rPr>
          <w:rFonts w:ascii="Times New Roman"/>
          <w:b w:val="false"/>
          <w:i w:val="false"/>
          <w:color w:val="000000"/>
          <w:sz w:val="28"/>
        </w:rPr>
        <w:t>
      К смягчающим индикаторам относится:</w:t>
      </w:r>
    </w:p>
    <w:bookmarkEnd w:id="80"/>
    <w:bookmarkStart w:name="z90" w:id="81"/>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81"/>
    <w:bookmarkStart w:name="z91" w:id="82"/>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 (датчики воды, датчики фиксации выбросов в атмосферу).</w:t>
      </w:r>
    </w:p>
    <w:bookmarkEnd w:id="82"/>
    <w:bookmarkStart w:name="z92" w:id="83"/>
    <w:p>
      <w:pPr>
        <w:spacing w:after="0"/>
        <w:ind w:left="0"/>
        <w:jc w:val="both"/>
      </w:pPr>
      <w:r>
        <w:rPr>
          <w:rFonts w:ascii="Times New Roman"/>
          <w:b w:val="false"/>
          <w:i w:val="false"/>
          <w:color w:val="000000"/>
          <w:sz w:val="28"/>
        </w:rPr>
        <w:t>
      18. Освобождение от профилактического контроля с посещением субъекта (объекта) контроля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регулирующего государственного органа, если такие основания предусмотрены в международных договорах, ратифицированных Республикой Казахстан.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94" w:id="84"/>
    <w:p>
      <w:pPr>
        <w:spacing w:after="0"/>
        <w:ind w:left="0"/>
        <w:jc w:val="left"/>
      </w:pPr>
      <w:r>
        <w:rPr>
          <w:rFonts w:ascii="Times New Roman"/>
          <w:b/>
          <w:i w:val="false"/>
          <w:color w:val="000000"/>
        </w:rPr>
        <w:t xml:space="preserve"> Субъективные критерии для субъектов естественных монополий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 договором договоров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согласия уполномоченного органа на:</w:t>
            </w:r>
          </w:p>
          <w:p>
            <w:pPr>
              <w:spacing w:after="20"/>
              <w:ind w:left="20"/>
              <w:jc w:val="both"/>
            </w:pPr>
            <w:r>
              <w:rPr>
                <w:rFonts w:ascii="Times New Roman"/>
                <w:b w:val="false"/>
                <w:i w:val="false"/>
                <w:color w:val="000000"/>
                <w:sz w:val="20"/>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регулируемой услуги по тарифу, утвержденному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установление дополнительных требований, не относящихся к предоставляемой регулируемой услуге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 ресурсы или терминалы, а при необходимости через платежных агентов и (или) платежные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за оказание услуг подъездных путей при отсутствии конкурентного подъездного пути платы по фактической протяженности подъездного пути, используемой потребителем для проезда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p>
            <w:pPr>
              <w:spacing w:after="20"/>
              <w:ind w:left="20"/>
              <w:jc w:val="both"/>
            </w:pPr>
            <w:r>
              <w:rPr>
                <w:rFonts w:ascii="Times New Roman"/>
                <w:b w:val="false"/>
                <w:i w:val="false"/>
                <w:color w:val="000000"/>
                <w:sz w:val="20"/>
              </w:rPr>
              <w:t>
1) конкурса;</w:t>
            </w:r>
          </w:p>
          <w:p>
            <w:pPr>
              <w:spacing w:after="20"/>
              <w:ind w:left="20"/>
              <w:jc w:val="both"/>
            </w:pPr>
            <w:r>
              <w:rPr>
                <w:rFonts w:ascii="Times New Roman"/>
                <w:b w:val="false"/>
                <w:i w:val="false"/>
                <w:color w:val="000000"/>
                <w:sz w:val="20"/>
              </w:rPr>
              <w:t>
2) запроса ценовых предложений;</w:t>
            </w:r>
          </w:p>
          <w:p>
            <w:pPr>
              <w:spacing w:after="20"/>
              <w:ind w:left="20"/>
              <w:jc w:val="both"/>
            </w:pPr>
            <w:r>
              <w:rPr>
                <w:rFonts w:ascii="Times New Roman"/>
                <w:b w:val="false"/>
                <w:i w:val="false"/>
                <w:color w:val="000000"/>
                <w:sz w:val="20"/>
              </w:rPr>
              <w:t>
3) из одного источника;</w:t>
            </w:r>
          </w:p>
          <w:p>
            <w:pPr>
              <w:spacing w:after="20"/>
              <w:ind w:left="20"/>
              <w:jc w:val="both"/>
            </w:pPr>
            <w:r>
              <w:rPr>
                <w:rFonts w:ascii="Times New Roman"/>
                <w:b w:val="false"/>
                <w:i w:val="false"/>
                <w:color w:val="000000"/>
                <w:sz w:val="20"/>
              </w:rPr>
              <w:t>
4) через товарные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p>
            <w:pPr>
              <w:spacing w:after="20"/>
              <w:ind w:left="20"/>
              <w:jc w:val="both"/>
            </w:pPr>
            <w:r>
              <w:rPr>
                <w:rFonts w:ascii="Times New Roman"/>
                <w:b w:val="false"/>
                <w:i w:val="false"/>
                <w:color w:val="000000"/>
                <w:sz w:val="20"/>
              </w:rPr>
              <w:t>
1) истечения срока действия конкурсной заявки;</w:t>
            </w:r>
          </w:p>
          <w:p>
            <w:pPr>
              <w:spacing w:after="20"/>
              <w:ind w:left="20"/>
              <w:jc w:val="both"/>
            </w:pPr>
            <w:r>
              <w:rPr>
                <w:rFonts w:ascii="Times New Roman"/>
                <w:b w:val="false"/>
                <w:i w:val="false"/>
                <w:color w:val="000000"/>
                <w:sz w:val="20"/>
              </w:rPr>
              <w:t>
2) вступления в силу договора закупок;</w:t>
            </w:r>
          </w:p>
          <w:p>
            <w:pPr>
              <w:spacing w:after="20"/>
              <w:ind w:left="20"/>
              <w:jc w:val="both"/>
            </w:pPr>
            <w:r>
              <w:rPr>
                <w:rFonts w:ascii="Times New Roman"/>
                <w:b w:val="false"/>
                <w:i w:val="false"/>
                <w:color w:val="000000"/>
                <w:sz w:val="20"/>
              </w:rPr>
              <w:t>
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p>
            <w:pPr>
              <w:spacing w:after="20"/>
              <w:ind w:left="20"/>
              <w:jc w:val="both"/>
            </w:pPr>
            <w:r>
              <w:rPr>
                <w:rFonts w:ascii="Times New Roman"/>
                <w:b w:val="false"/>
                <w:i w:val="false"/>
                <w:color w:val="000000"/>
                <w:sz w:val="20"/>
              </w:rPr>
              <w:t>
1) не представлены документы</w:t>
            </w:r>
          </w:p>
          <w:p>
            <w:pPr>
              <w:spacing w:after="20"/>
              <w:ind w:left="20"/>
              <w:jc w:val="both"/>
            </w:pP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7) установлен факт представления недостоверной информации;</w:t>
            </w:r>
          </w:p>
          <w:p>
            <w:pPr>
              <w:spacing w:after="20"/>
              <w:ind w:left="20"/>
              <w:jc w:val="both"/>
            </w:pPr>
            <w:r>
              <w:rPr>
                <w:rFonts w:ascii="Times New Roman"/>
                <w:b w:val="false"/>
                <w:i w:val="false"/>
                <w:color w:val="000000"/>
                <w:sz w:val="20"/>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p>
            <w:pPr>
              <w:spacing w:after="20"/>
              <w:ind w:left="20"/>
              <w:jc w:val="both"/>
            </w:pPr>
            <w:r>
              <w:rPr>
                <w:rFonts w:ascii="Times New Roman"/>
                <w:b w:val="false"/>
                <w:i w:val="false"/>
                <w:color w:val="000000"/>
                <w:sz w:val="20"/>
              </w:rPr>
              <w:t>
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p>
            <w:pPr>
              <w:spacing w:after="20"/>
              <w:ind w:left="20"/>
              <w:jc w:val="both"/>
            </w:pPr>
            <w:r>
              <w:rPr>
                <w:rFonts w:ascii="Times New Roman"/>
                <w:b w:val="false"/>
                <w:i w:val="false"/>
                <w:color w:val="000000"/>
                <w:sz w:val="20"/>
              </w:rPr>
              <w:t>
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p>
            <w:pPr>
              <w:spacing w:after="20"/>
              <w:ind w:left="20"/>
              <w:jc w:val="both"/>
            </w:pPr>
            <w:r>
              <w:rPr>
                <w:rFonts w:ascii="Times New Roman"/>
                <w:b w:val="false"/>
                <w:i w:val="false"/>
                <w:color w:val="000000"/>
                <w:sz w:val="20"/>
              </w:rPr>
              <w:t>
1) расходов на эксплуатацию, техническое обслуживание и ремонт;</w:t>
            </w:r>
          </w:p>
          <w:p>
            <w:pPr>
              <w:spacing w:after="20"/>
              <w:ind w:left="20"/>
              <w:jc w:val="both"/>
            </w:pPr>
            <w:r>
              <w:rPr>
                <w:rFonts w:ascii="Times New Roman"/>
                <w:b w:val="false"/>
                <w:i w:val="false"/>
                <w:color w:val="000000"/>
                <w:sz w:val="20"/>
              </w:rPr>
              <w:t>
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пяти рабочих дней со дня вскрытия конкурсных заявок, формирование и размещение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p>
            <w:pPr>
              <w:spacing w:after="20"/>
              <w:ind w:left="20"/>
              <w:jc w:val="both"/>
            </w:pPr>
            <w:r>
              <w:rPr>
                <w:rFonts w:ascii="Times New Roman"/>
                <w:b w:val="false"/>
                <w:i w:val="false"/>
                <w:color w:val="000000"/>
                <w:sz w:val="20"/>
              </w:rPr>
              <w:t>
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другие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p>
            <w:pPr>
              <w:spacing w:after="20"/>
              <w:ind w:left="20"/>
              <w:jc w:val="both"/>
            </w:pPr>
            <w:r>
              <w:rPr>
                <w:rFonts w:ascii="Times New Roman"/>
                <w:b w:val="false"/>
                <w:i w:val="false"/>
                <w:color w:val="000000"/>
                <w:sz w:val="20"/>
              </w:rPr>
              <w:t>
1) оно превышает сумму, выделенную на закупки;</w:t>
            </w:r>
          </w:p>
          <w:p>
            <w:pPr>
              <w:spacing w:after="20"/>
              <w:ind w:left="20"/>
              <w:jc w:val="both"/>
            </w:pPr>
            <w:r>
              <w:rPr>
                <w:rFonts w:ascii="Times New Roman"/>
                <w:b w:val="false"/>
                <w:i w:val="false"/>
                <w:color w:val="000000"/>
                <w:sz w:val="20"/>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3) оно не соответствует требованиям;</w:t>
            </w:r>
          </w:p>
          <w:p>
            <w:pPr>
              <w:spacing w:after="20"/>
              <w:ind w:left="20"/>
              <w:jc w:val="both"/>
            </w:pPr>
            <w:r>
              <w:rPr>
                <w:rFonts w:ascii="Times New Roman"/>
                <w:b w:val="false"/>
                <w:i w:val="false"/>
                <w:color w:val="000000"/>
                <w:sz w:val="20"/>
              </w:rPr>
              <w:t>
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двух ценовых предложений;</w:t>
            </w:r>
          </w:p>
          <w:p>
            <w:pPr>
              <w:spacing w:after="20"/>
              <w:ind w:left="20"/>
              <w:jc w:val="both"/>
            </w:pPr>
            <w:r>
              <w:rPr>
                <w:rFonts w:ascii="Times New Roman"/>
                <w:b w:val="false"/>
                <w:i w:val="false"/>
                <w:color w:val="000000"/>
                <w:sz w:val="20"/>
              </w:rPr>
              <w:t>
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p>
            <w:pPr>
              <w:spacing w:after="20"/>
              <w:ind w:left="20"/>
              <w:jc w:val="both"/>
            </w:pPr>
            <w:r>
              <w:rPr>
                <w:rFonts w:ascii="Times New Roman"/>
                <w:b w:val="false"/>
                <w:i w:val="false"/>
                <w:color w:val="000000"/>
                <w:sz w:val="20"/>
              </w:rPr>
              <w:t>
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по реабилитации и банкротстве;</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субъектом (объектом)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перерасчета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за месяц до проведения отчета перед потребителями и иными заинтересованными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ведомству уполномоченного органа или его территориальному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учитывание в затратной части тарифа следующих расходов:</w:t>
            </w:r>
          </w:p>
          <w:p>
            <w:pPr>
              <w:spacing w:after="20"/>
              <w:ind w:left="20"/>
              <w:jc w:val="both"/>
            </w:pPr>
            <w:r>
              <w:rPr>
                <w:rFonts w:ascii="Times New Roman"/>
                <w:b w:val="false"/>
                <w:i w:val="false"/>
                <w:color w:val="000000"/>
                <w:sz w:val="20"/>
              </w:rPr>
              <w:t>
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p>
            <w:pPr>
              <w:spacing w:after="20"/>
              <w:ind w:left="20"/>
              <w:jc w:val="both"/>
            </w:pPr>
            <w:r>
              <w:rPr>
                <w:rFonts w:ascii="Times New Roman"/>
                <w:b w:val="false"/>
                <w:i w:val="false"/>
                <w:color w:val="000000"/>
                <w:sz w:val="20"/>
              </w:rPr>
              <w:t>
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а также содержание и ремонт магистрального газопровода по маршруту Караозек (Кызылординская область) – Жезказган – Караганда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p>
            <w:pPr>
              <w:spacing w:after="20"/>
              <w:ind w:left="20"/>
              <w:jc w:val="both"/>
            </w:pPr>
            <w:r>
              <w:rPr>
                <w:rFonts w:ascii="Times New Roman"/>
                <w:b w:val="false"/>
                <w:i w:val="false"/>
                <w:color w:val="000000"/>
                <w:sz w:val="20"/>
              </w:rPr>
              <w:t>
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6) судебные издержки;</w:t>
            </w:r>
          </w:p>
          <w:p>
            <w:pPr>
              <w:spacing w:after="20"/>
              <w:ind w:left="20"/>
              <w:jc w:val="both"/>
            </w:pPr>
            <w:r>
              <w:rPr>
                <w:rFonts w:ascii="Times New Roman"/>
                <w:b w:val="false"/>
                <w:i w:val="false"/>
                <w:color w:val="000000"/>
                <w:sz w:val="20"/>
              </w:rPr>
              <w:t>
7) безнадежная задолженность;</w:t>
            </w:r>
          </w:p>
          <w:p>
            <w:pPr>
              <w:spacing w:after="20"/>
              <w:ind w:left="20"/>
              <w:jc w:val="both"/>
            </w:pPr>
            <w:r>
              <w:rPr>
                <w:rFonts w:ascii="Times New Roman"/>
                <w:b w:val="false"/>
                <w:i w:val="false"/>
                <w:color w:val="000000"/>
                <w:sz w:val="20"/>
              </w:rPr>
              <w:t>
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9) штрафы и пени за сокрытие (занижение) дохода;</w:t>
            </w:r>
          </w:p>
          <w:p>
            <w:pPr>
              <w:spacing w:after="20"/>
              <w:ind w:left="20"/>
              <w:jc w:val="both"/>
            </w:pPr>
            <w:r>
              <w:rPr>
                <w:rFonts w:ascii="Times New Roman"/>
                <w:b w:val="false"/>
                <w:i w:val="false"/>
                <w:color w:val="000000"/>
                <w:sz w:val="20"/>
              </w:rPr>
              <w:t>
10) убытки от хищений;</w:t>
            </w:r>
          </w:p>
          <w:p>
            <w:pPr>
              <w:spacing w:after="20"/>
              <w:ind w:left="20"/>
              <w:jc w:val="both"/>
            </w:pPr>
            <w:r>
              <w:rPr>
                <w:rFonts w:ascii="Times New Roman"/>
                <w:b w:val="false"/>
                <w:i w:val="false"/>
                <w:color w:val="000000"/>
                <w:sz w:val="20"/>
              </w:rPr>
              <w:t>
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20)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p>
            <w:pPr>
              <w:spacing w:after="20"/>
              <w:ind w:left="20"/>
              <w:jc w:val="both"/>
            </w:pPr>
            <w:r>
              <w:rPr>
                <w:rFonts w:ascii="Times New Roman"/>
                <w:b w:val="false"/>
                <w:i w:val="false"/>
                <w:color w:val="000000"/>
                <w:sz w:val="20"/>
              </w:rPr>
              <w:t>
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25)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20"/>
              <w:ind w:left="20"/>
              <w:jc w:val="both"/>
            </w:pPr>
            <w:r>
              <w:rPr>
                <w:rFonts w:ascii="Times New Roman"/>
                <w:b w:val="false"/>
                <w:i w:val="false"/>
                <w:color w:val="000000"/>
                <w:sz w:val="20"/>
              </w:rPr>
              <w:t>
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28) на предоставление всех видов спонсорской помощи;</w:t>
            </w:r>
          </w:p>
          <w:p>
            <w:pPr>
              <w:spacing w:after="20"/>
              <w:ind w:left="20"/>
              <w:jc w:val="both"/>
            </w:pPr>
            <w:r>
              <w:rPr>
                <w:rFonts w:ascii="Times New Roman"/>
                <w:b w:val="false"/>
                <w:i w:val="false"/>
                <w:color w:val="000000"/>
                <w:sz w:val="20"/>
              </w:rPr>
              <w:t>
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стратегических товаров субъектом естественной монополии непосредственно у производителей стратегических товаров, за исключением случаев:</w:t>
            </w:r>
          </w:p>
          <w:p>
            <w:pPr>
              <w:spacing w:after="20"/>
              <w:ind w:left="20"/>
              <w:jc w:val="both"/>
            </w:pPr>
            <w:r>
              <w:rPr>
                <w:rFonts w:ascii="Times New Roman"/>
                <w:b w:val="false"/>
                <w:i w:val="false"/>
                <w:color w:val="000000"/>
                <w:sz w:val="20"/>
              </w:rPr>
              <w:t>
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pPr>
              <w:spacing w:after="20"/>
              <w:ind w:left="20"/>
              <w:jc w:val="both"/>
            </w:pPr>
            <w:r>
              <w:rPr>
                <w:rFonts w:ascii="Times New Roman"/>
                <w:b w:val="false"/>
                <w:i w:val="false"/>
                <w:color w:val="000000"/>
                <w:sz w:val="20"/>
              </w:rPr>
              <w:t>
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20"/>
              <w:ind w:left="20"/>
              <w:jc w:val="both"/>
            </w:pPr>
            <w:r>
              <w:rPr>
                <w:rFonts w:ascii="Times New Roman"/>
                <w:b w:val="false"/>
                <w:i w:val="false"/>
                <w:color w:val="000000"/>
                <w:sz w:val="20"/>
              </w:rPr>
              <w:t>
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pPr>
              <w:spacing w:after="20"/>
              <w:ind w:left="20"/>
              <w:jc w:val="both"/>
            </w:pPr>
            <w:r>
              <w:rPr>
                <w:rFonts w:ascii="Times New Roman"/>
                <w:b w:val="false"/>
                <w:i w:val="false"/>
                <w:color w:val="000000"/>
                <w:sz w:val="20"/>
              </w:rPr>
              <w:t>
4) закупки газа у газораспределительных организаций;</w:t>
            </w:r>
          </w:p>
          <w:p>
            <w:pPr>
              <w:spacing w:after="20"/>
              <w:ind w:left="20"/>
              <w:jc w:val="both"/>
            </w:pPr>
            <w:r>
              <w:rPr>
                <w:rFonts w:ascii="Times New Roman"/>
                <w:b w:val="false"/>
                <w:i w:val="false"/>
                <w:color w:val="000000"/>
                <w:sz w:val="20"/>
              </w:rPr>
              <w:t>
5) закупки электрической энергии;</w:t>
            </w:r>
          </w:p>
          <w:p>
            <w:pPr>
              <w:spacing w:after="20"/>
              <w:ind w:left="20"/>
              <w:jc w:val="both"/>
            </w:pPr>
            <w:r>
              <w:rPr>
                <w:rFonts w:ascii="Times New Roman"/>
                <w:b w:val="false"/>
                <w:i w:val="false"/>
                <w:color w:val="000000"/>
                <w:sz w:val="20"/>
              </w:rPr>
              <w:t>
6) закупки балансирующей электроэнергии, электрической энергии на централизованных торгах, спот-рынке;</w:t>
            </w:r>
          </w:p>
          <w:p>
            <w:pPr>
              <w:spacing w:after="20"/>
              <w:ind w:left="20"/>
              <w:jc w:val="both"/>
            </w:pPr>
            <w:r>
              <w:rPr>
                <w:rFonts w:ascii="Times New Roman"/>
                <w:b w:val="false"/>
                <w:i w:val="false"/>
                <w:color w:val="000000"/>
                <w:sz w:val="20"/>
              </w:rPr>
              <w:t>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анализа официальных интернет-ресурсов и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размещение отчета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 </w:t>
            </w:r>
          </w:p>
          <w:p>
            <w:pPr>
              <w:spacing w:after="20"/>
              <w:ind w:left="20"/>
              <w:jc w:val="both"/>
            </w:pPr>
            <w:r>
              <w:rPr>
                <w:rFonts w:ascii="Times New Roman"/>
                <w:b w:val="false"/>
                <w:i w:val="false"/>
                <w:color w:val="000000"/>
                <w:sz w:val="20"/>
              </w:rPr>
              <w:t>
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p>
            <w:pPr>
              <w:spacing w:after="20"/>
              <w:ind w:left="20"/>
              <w:jc w:val="both"/>
            </w:pPr>
            <w:r>
              <w:rPr>
                <w:rFonts w:ascii="Times New Roman"/>
                <w:b w:val="false"/>
                <w:i w:val="false"/>
                <w:color w:val="000000"/>
                <w:sz w:val="20"/>
              </w:rPr>
              <w:t>
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xml:space="preserve">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212" w:id="85"/>
    <w:p>
      <w:pPr>
        <w:spacing w:after="0"/>
        <w:ind w:left="0"/>
        <w:jc w:val="left"/>
      </w:pPr>
      <w:r>
        <w:rPr>
          <w:rFonts w:ascii="Times New Roman"/>
          <w:b/>
          <w:i w:val="false"/>
          <w:color w:val="000000"/>
        </w:rPr>
        <w:t xml:space="preserve"> Субъективные критерии за соблюдением порядка ценообразования и обязанностей субъекта общественно значимого рынка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мониторинга отчетности и сведений, представляемых субъектом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p>
            <w:pPr>
              <w:spacing w:after="20"/>
              <w:ind w:left="20"/>
              <w:jc w:val="both"/>
            </w:pPr>
            <w:r>
              <w:rPr>
                <w:rFonts w:ascii="Times New Roman"/>
                <w:b w:val="false"/>
                <w:i w:val="false"/>
                <w:color w:val="000000"/>
                <w:sz w:val="20"/>
              </w:rPr>
              <w:t>
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средствах массовой информации в порядке, определяемом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1)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2)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3)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4)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либо интернет-ресурсе уполномоченного органа, осуществляющего руководство в сферах естественных монополий, информации об отпускных ценах, о результатах публичных слушаний 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на покупку и (или) передачу электрической энергии, товарного газа, учтенных в предельных ценах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в области общественно значимых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2022 года №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225" w:id="86"/>
    <w:p>
      <w:pPr>
        <w:spacing w:after="0"/>
        <w:ind w:left="0"/>
        <w:jc w:val="left"/>
      </w:pPr>
      <w:r>
        <w:rPr>
          <w:rFonts w:ascii="Times New Roman"/>
          <w:b/>
          <w:i w:val="false"/>
          <w:color w:val="000000"/>
        </w:rPr>
        <w:t xml:space="preserve"> Проверочный лист в сферах естественных монополий</w:t>
      </w:r>
    </w:p>
    <w:bookmarkEnd w:id="86"/>
    <w:bookmarkStart w:name="z226" w:id="87"/>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87"/>
    <w:p>
      <w:pPr>
        <w:spacing w:after="0"/>
        <w:ind w:left="0"/>
        <w:jc w:val="both"/>
      </w:pPr>
      <w:bookmarkStart w:name="z227" w:id="88"/>
      <w:r>
        <w:rPr>
          <w:rFonts w:ascii="Times New Roman"/>
          <w:b w:val="false"/>
          <w:i w:val="false"/>
          <w:color w:val="000000"/>
          <w:sz w:val="28"/>
        </w:rPr>
        <w:t>
      В отношении субъектов естественных монополий</w:t>
      </w:r>
    </w:p>
    <w:bookmarkEnd w:id="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утверждении тарифа не позднее чем за тридцать календарных дней до его введения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заявкой для утверждения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уполномоченный орган с заявлением о включении в Государственный регистр субъектов естественных монополий, об исключении из него, о внесении изменений и (или) дополнений в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регулируемой услуге, в доверительное управление, имущественный наем (аренду), включая лизинг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индивидуальных договоров с потребителями на каждый вид предоставляемых регулируемых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 договором договоров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в столице, городах республиканского и областного значения только в электронной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Отчуждение имущества, используемого в технологическом цикле при производстве и (или) предоставлении регулируемой услуги, на торгах, за исключением случаев передачи имущества в собственность государства, а также передачи электрических сетей субъектами естественных монополий, предоставляющими регулируемую услугу по передаче электрической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согласия уполномоченного органа на:</w:t>
            </w:r>
          </w:p>
          <w:p>
            <w:pPr>
              <w:spacing w:after="20"/>
              <w:ind w:left="20"/>
              <w:jc w:val="both"/>
            </w:pPr>
            <w:r>
              <w:rPr>
                <w:rFonts w:ascii="Times New Roman"/>
                <w:b w:val="false"/>
                <w:i w:val="false"/>
                <w:color w:val="000000"/>
                <w:sz w:val="20"/>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p>
            <w:pPr>
              <w:spacing w:after="20"/>
              <w:ind w:left="20"/>
              <w:jc w:val="both"/>
            </w:pPr>
            <w:r>
              <w:rPr>
                <w:rFonts w:ascii="Times New Roman"/>
                <w:b w:val="false"/>
                <w:i w:val="false"/>
                <w:color w:val="000000"/>
                <w:sz w:val="20"/>
              </w:rPr>
              <w:t>
2) совершение сделок с имуществом, используемым для предоставления регулируемой услуги подъездных путей;</w:t>
            </w:r>
          </w:p>
          <w:p>
            <w:pPr>
              <w:spacing w:after="20"/>
              <w:ind w:left="20"/>
              <w:jc w:val="both"/>
            </w:pPr>
            <w:r>
              <w:rPr>
                <w:rFonts w:ascii="Times New Roman"/>
                <w:b w:val="false"/>
                <w:i w:val="false"/>
                <w:color w:val="000000"/>
                <w:sz w:val="20"/>
              </w:rPr>
              <w:t>
3) реорганизацию или ликвидацию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регулируемой услуги по тарифу, утвержденному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естественных монополиях"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дополнительных требований, не относящихся к предоставляемой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потребителям равных условий доступа к регулируемой услуге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ограничение деятельности потребителя по проведению работ в соответствии с техническими условиями на подключение к сетям субъекта естественной монополии или увеличения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требование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запрету на взимание платы за предоставление информации о свободных мощностях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приема платежей от потребителей за предоставляемые им коммунальные услуги в сферах естественных монополий через собственные кассы и (или) банки второго уровня и организации, осуществляющие отдельные виды банковских операций, интернет ресурсы или терминалы, а при необходимости через платежных агентов и (или) платежные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установление потребителям приборов учета, за исключением случаев приемки и ввода объектов строительства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объектам утвержденной инвестиционной программы и предоставление информации об исполнении утвержденной инвестиционной программы лицам, уполномоченным на проведение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достижения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с потребителей платы за приобретение и установку прибора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взимание отдельной платы за пользование сооружениями, устройствами и элементами подъездного пути, предназначенными для перемещения подвижного состава с одного пути на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Взимание за оказание услуг подъездных путей при отсутствии конкурентного подъездного пути платы по фактической протяженности подъездного пути, используемой потребителем для проезда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товаров, работ, услуг на портале одним из следующих способов:</w:t>
            </w:r>
          </w:p>
          <w:p>
            <w:pPr>
              <w:spacing w:after="20"/>
              <w:ind w:left="20"/>
              <w:jc w:val="both"/>
            </w:pPr>
            <w:r>
              <w:rPr>
                <w:rFonts w:ascii="Times New Roman"/>
                <w:b w:val="false"/>
                <w:i w:val="false"/>
                <w:color w:val="000000"/>
                <w:sz w:val="20"/>
              </w:rPr>
              <w:t>
1) конкурса;</w:t>
            </w:r>
          </w:p>
          <w:p>
            <w:pPr>
              <w:spacing w:after="20"/>
              <w:ind w:left="20"/>
              <w:jc w:val="both"/>
            </w:pPr>
            <w:r>
              <w:rPr>
                <w:rFonts w:ascii="Times New Roman"/>
                <w:b w:val="false"/>
                <w:i w:val="false"/>
                <w:color w:val="000000"/>
                <w:sz w:val="20"/>
              </w:rPr>
              <w:t>
2) запроса ценовых предложений;</w:t>
            </w:r>
          </w:p>
          <w:p>
            <w:pPr>
              <w:spacing w:after="20"/>
              <w:ind w:left="20"/>
              <w:jc w:val="both"/>
            </w:pPr>
            <w:r>
              <w:rPr>
                <w:rFonts w:ascii="Times New Roman"/>
                <w:b w:val="false"/>
                <w:i w:val="false"/>
                <w:color w:val="000000"/>
                <w:sz w:val="20"/>
              </w:rPr>
              <w:t>
3) из одного источника;</w:t>
            </w:r>
          </w:p>
          <w:p>
            <w:pPr>
              <w:spacing w:after="20"/>
              <w:ind w:left="20"/>
              <w:jc w:val="both"/>
            </w:pPr>
            <w:r>
              <w:rPr>
                <w:rFonts w:ascii="Times New Roman"/>
                <w:b w:val="false"/>
                <w:i w:val="false"/>
                <w:color w:val="000000"/>
                <w:sz w:val="20"/>
              </w:rPr>
              <w:t>
4) через товарные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а в случае отсутствия своего интернет-ресурса предоставление ведомству уполномоченного органа или его территориальному органу информацию о портале, на котором осуществляются закупки, с указанием ссылки на портал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утверждению состава конкурсной комиссии, в том числе секретаря конкурсной комиссии и определению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до публикации конкурсной документации на портале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конкурсной комиссией открытым голосованием и считать принятым, если за него проголосовало большинство от общего количества членов конкурсной комиссии. При равенстве голосов принятым считается решение, за которое проголосовал председатель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 конкурсной документации товаров, работ и услуг на части (лоты) по месту их поставки (выполнения, оказания) при проведении конкурса по закупкам однородных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 позднее трех рабочих дней со дня получения запроса ответа на запрос (при наличии) потенциального поставщика по разъяснению конкурсной документации и направление такого разъяснения всем потенциальным поставщикам, которым была предоставлена конкурсная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обеспечения конкурсной заявки в течение пяти рабочих дней со дня наступления следующих случаев:</w:t>
            </w:r>
          </w:p>
          <w:p>
            <w:pPr>
              <w:spacing w:after="20"/>
              <w:ind w:left="20"/>
              <w:jc w:val="both"/>
            </w:pPr>
            <w:r>
              <w:rPr>
                <w:rFonts w:ascii="Times New Roman"/>
                <w:b w:val="false"/>
                <w:i w:val="false"/>
                <w:color w:val="000000"/>
                <w:sz w:val="20"/>
              </w:rPr>
              <w:t>
1) истечения срока действия конкурсной заявки;</w:t>
            </w:r>
          </w:p>
          <w:p>
            <w:pPr>
              <w:spacing w:after="20"/>
              <w:ind w:left="20"/>
              <w:jc w:val="both"/>
            </w:pPr>
            <w:r>
              <w:rPr>
                <w:rFonts w:ascii="Times New Roman"/>
                <w:b w:val="false"/>
                <w:i w:val="false"/>
                <w:color w:val="000000"/>
                <w:sz w:val="20"/>
              </w:rPr>
              <w:t>
2) вступления в силу договора закупок;</w:t>
            </w:r>
          </w:p>
          <w:p>
            <w:pPr>
              <w:spacing w:after="20"/>
              <w:ind w:left="20"/>
              <w:jc w:val="both"/>
            </w:pPr>
            <w:r>
              <w:rPr>
                <w:rFonts w:ascii="Times New Roman"/>
                <w:b w:val="false"/>
                <w:i w:val="false"/>
                <w:color w:val="000000"/>
                <w:sz w:val="20"/>
              </w:rPr>
              <w:t>
3) отзыва конкурсной заявки до истечения окончательного срока представления конкурсных заявок;</w:t>
            </w:r>
          </w:p>
          <w:p>
            <w:pPr>
              <w:spacing w:after="20"/>
              <w:ind w:left="20"/>
              <w:jc w:val="both"/>
            </w:pPr>
            <w:r>
              <w:rPr>
                <w:rFonts w:ascii="Times New Roman"/>
                <w:b w:val="false"/>
                <w:i w:val="false"/>
                <w:color w:val="000000"/>
                <w:sz w:val="20"/>
              </w:rPr>
              <w:t>
4) отклонения конкурсной заявки, как не отвечающей требованиям конкурсной документации;</w:t>
            </w:r>
          </w:p>
          <w:p>
            <w:pPr>
              <w:spacing w:after="20"/>
              <w:ind w:left="20"/>
              <w:jc w:val="both"/>
            </w:pPr>
            <w:r>
              <w:rPr>
                <w:rFonts w:ascii="Times New Roman"/>
                <w:b w:val="false"/>
                <w:i w:val="false"/>
                <w:color w:val="000000"/>
                <w:sz w:val="20"/>
              </w:rPr>
              <w:t>
5) прекращения процедур закупок без определения победителя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конкурсной комиссией конкурсных заявок потенциальных поставщиков отдельно по каждому лоту не более пяти рабочих дней со дня окончания представления конкурсных заявок, установленного в объявлении о проведении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Непринятие конкурсной комиссией к оценке и сопоставлению конкурсной заявки потенциального поставщика по следующим основаниям:</w:t>
            </w:r>
          </w:p>
          <w:p>
            <w:pPr>
              <w:spacing w:after="20"/>
              <w:ind w:left="20"/>
              <w:jc w:val="both"/>
            </w:pPr>
            <w:r>
              <w:rPr>
                <w:rFonts w:ascii="Times New Roman"/>
                <w:b w:val="false"/>
                <w:i w:val="false"/>
                <w:color w:val="000000"/>
                <w:sz w:val="20"/>
              </w:rPr>
              <w:t>
1) не представлены документы</w:t>
            </w:r>
          </w:p>
          <w:p>
            <w:pPr>
              <w:spacing w:after="20"/>
              <w:ind w:left="20"/>
              <w:jc w:val="both"/>
            </w:pPr>
            <w:r>
              <w:rPr>
                <w:rFonts w:ascii="Times New Roman"/>
                <w:b w:val="false"/>
                <w:i w:val="false"/>
                <w:color w:val="000000"/>
                <w:sz w:val="20"/>
              </w:rPr>
              <w:t>1. Техническая спецификация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pPr>
              <w:spacing w:after="20"/>
              <w:ind w:left="20"/>
              <w:jc w:val="both"/>
            </w:pPr>
            <w:r>
              <w:rPr>
                <w:rFonts w:ascii="Times New Roman"/>
                <w:b w:val="false"/>
                <w:i w:val="false"/>
                <w:color w:val="000000"/>
                <w:sz w:val="20"/>
              </w:rPr>
              <w:t>2. Лицензии, разрешения (уведомления), патента, свидетельства, сертификата, диплома,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p>
            <w:pPr>
              <w:spacing w:after="20"/>
              <w:ind w:left="20"/>
              <w:jc w:val="both"/>
            </w:pPr>
            <w:r>
              <w:rPr>
                <w:rFonts w:ascii="Times New Roman"/>
                <w:b w:val="false"/>
                <w:i w:val="false"/>
                <w:color w:val="000000"/>
                <w:sz w:val="20"/>
              </w:rPr>
              <w:t>4. Справки соответствующего налогового органа об отсутствии налоговой задолженности либо о наличии налоговой задолженности менее одного тенге, выданной не ранее трех месяцев до дня вскрытия конкурсных заявок;</w:t>
            </w:r>
          </w:p>
          <w:p>
            <w:pPr>
              <w:spacing w:after="20"/>
              <w:ind w:left="20"/>
              <w:jc w:val="both"/>
            </w:pPr>
            <w:r>
              <w:rPr>
                <w:rFonts w:ascii="Times New Roman"/>
                <w:b w:val="false"/>
                <w:i w:val="false"/>
                <w:color w:val="000000"/>
                <w:sz w:val="20"/>
              </w:rPr>
              <w:t>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представляются: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 правоустанавливающие документы с проставленным апостилем (легализованного);</w:t>
            </w:r>
          </w:p>
          <w:p>
            <w:pPr>
              <w:spacing w:after="20"/>
              <w:ind w:left="20"/>
              <w:jc w:val="both"/>
            </w:pPr>
            <w:r>
              <w:rPr>
                <w:rFonts w:ascii="Times New Roman"/>
                <w:b w:val="false"/>
                <w:i w:val="false"/>
                <w:color w:val="000000"/>
                <w:sz w:val="20"/>
              </w:rPr>
              <w:t>6. Платежные поручения, подтверждающие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w:t>
            </w:r>
          </w:p>
          <w:p>
            <w:pPr>
              <w:spacing w:after="20"/>
              <w:ind w:left="20"/>
              <w:jc w:val="both"/>
            </w:pPr>
            <w:r>
              <w:rPr>
                <w:rFonts w:ascii="Times New Roman"/>
                <w:b w:val="false"/>
                <w:i w:val="false"/>
                <w:color w:val="000000"/>
                <w:sz w:val="20"/>
              </w:rPr>
              <w:t>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полученного от соответствующего компетентного органа;</w:t>
            </w:r>
          </w:p>
          <w:p>
            <w:pPr>
              <w:spacing w:after="20"/>
              <w:ind w:left="20"/>
              <w:jc w:val="both"/>
            </w:pPr>
            <w:r>
              <w:rPr>
                <w:rFonts w:ascii="Times New Roman"/>
                <w:b w:val="false"/>
                <w:i w:val="false"/>
                <w:color w:val="000000"/>
                <w:sz w:val="20"/>
              </w:rPr>
              <w:t>8. Сведения о государственной регистрации (перерегистрации) юридического лица, выданные регистрирующим органом;</w:t>
            </w:r>
          </w:p>
          <w:p>
            <w:pPr>
              <w:spacing w:after="20"/>
              <w:ind w:left="20"/>
              <w:jc w:val="both"/>
            </w:pPr>
            <w:r>
              <w:rPr>
                <w:rFonts w:ascii="Times New Roman"/>
                <w:b w:val="false"/>
                <w:i w:val="false"/>
                <w:color w:val="000000"/>
                <w:sz w:val="20"/>
              </w:rPr>
              <w:t>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pPr>
              <w:spacing w:after="20"/>
              <w:ind w:left="20"/>
              <w:jc w:val="both"/>
            </w:pPr>
            <w:r>
              <w:rPr>
                <w:rFonts w:ascii="Times New Roman"/>
                <w:b w:val="false"/>
                <w:i w:val="false"/>
                <w:color w:val="000000"/>
                <w:sz w:val="20"/>
              </w:rPr>
              <w:t>
2) потенциальный поставщик не внес обеспечение конкурсной заявки;</w:t>
            </w:r>
          </w:p>
          <w:p>
            <w:pPr>
              <w:spacing w:after="20"/>
              <w:ind w:left="20"/>
              <w:jc w:val="both"/>
            </w:pPr>
            <w:r>
              <w:rPr>
                <w:rFonts w:ascii="Times New Roman"/>
                <w:b w:val="false"/>
                <w:i w:val="false"/>
                <w:color w:val="000000"/>
                <w:sz w:val="20"/>
              </w:rPr>
              <w:t>
3) конкурсная заявка, содержит документы, представленные или оформленные с нарушением требований;</w:t>
            </w:r>
          </w:p>
          <w:p>
            <w:pPr>
              <w:spacing w:after="20"/>
              <w:ind w:left="20"/>
              <w:jc w:val="both"/>
            </w:pPr>
            <w:r>
              <w:rPr>
                <w:rFonts w:ascii="Times New Roman"/>
                <w:b w:val="false"/>
                <w:i w:val="false"/>
                <w:color w:val="000000"/>
                <w:sz w:val="20"/>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p>
            <w:pPr>
              <w:spacing w:after="20"/>
              <w:ind w:left="20"/>
              <w:jc w:val="both"/>
            </w:pPr>
            <w:r>
              <w:rPr>
                <w:rFonts w:ascii="Times New Roman"/>
                <w:b w:val="false"/>
                <w:i w:val="false"/>
                <w:color w:val="000000"/>
                <w:sz w:val="20"/>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pPr>
              <w:spacing w:after="20"/>
              <w:ind w:left="20"/>
              <w:jc w:val="both"/>
            </w:pPr>
            <w:r>
              <w:rPr>
                <w:rFonts w:ascii="Times New Roman"/>
                <w:b w:val="false"/>
                <w:i w:val="false"/>
                <w:color w:val="000000"/>
                <w:sz w:val="20"/>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p>
            <w:pPr>
              <w:spacing w:after="20"/>
              <w:ind w:left="20"/>
              <w:jc w:val="both"/>
            </w:pPr>
            <w:r>
              <w:rPr>
                <w:rFonts w:ascii="Times New Roman"/>
                <w:b w:val="false"/>
                <w:i w:val="false"/>
                <w:color w:val="000000"/>
                <w:sz w:val="20"/>
              </w:rPr>
              <w:t>
7) установлен факт представления недостоверной информации;</w:t>
            </w:r>
          </w:p>
          <w:p>
            <w:pPr>
              <w:spacing w:after="20"/>
              <w:ind w:left="20"/>
              <w:jc w:val="both"/>
            </w:pPr>
            <w:r>
              <w:rPr>
                <w:rFonts w:ascii="Times New Roman"/>
                <w:b w:val="false"/>
                <w:i w:val="false"/>
                <w:color w:val="000000"/>
                <w:sz w:val="20"/>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p>
            <w:pPr>
              <w:spacing w:after="20"/>
              <w:ind w:left="20"/>
              <w:jc w:val="both"/>
            </w:pPr>
            <w:r>
              <w:rPr>
                <w:rFonts w:ascii="Times New Roman"/>
                <w:b w:val="false"/>
                <w:i w:val="false"/>
                <w:color w:val="000000"/>
                <w:sz w:val="20"/>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p>
            <w:pPr>
              <w:spacing w:after="20"/>
              <w:ind w:left="20"/>
              <w:jc w:val="both"/>
            </w:pPr>
            <w:r>
              <w:rPr>
                <w:rFonts w:ascii="Times New Roman"/>
                <w:b w:val="false"/>
                <w:i w:val="false"/>
                <w:color w:val="000000"/>
                <w:sz w:val="20"/>
              </w:rPr>
              <w:t>
10) ценовое предложение потенциального поставщика признано конкурсной комиссией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ценового предложения демпинговым в случае, если оно более чем на 50 процентов ниже суммы, предусмотренной на закупки конкурсной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конкурсной комиссией конкурса (лота) несостоявшимся в случае, если:</w:t>
            </w:r>
          </w:p>
          <w:p>
            <w:pPr>
              <w:spacing w:after="20"/>
              <w:ind w:left="20"/>
              <w:jc w:val="both"/>
            </w:pPr>
            <w:r>
              <w:rPr>
                <w:rFonts w:ascii="Times New Roman"/>
                <w:b w:val="false"/>
                <w:i w:val="false"/>
                <w:color w:val="000000"/>
                <w:sz w:val="20"/>
              </w:rPr>
              <w:t>
1) после непринятия к оценке и сопоставлению конкурсных заявок потенциальных поставщиков, осталось менее двух конкурсных заявок;</w:t>
            </w:r>
          </w:p>
          <w:p>
            <w:pPr>
              <w:spacing w:after="20"/>
              <w:ind w:left="20"/>
              <w:jc w:val="both"/>
            </w:pPr>
            <w:r>
              <w:rPr>
                <w:rFonts w:ascii="Times New Roman"/>
                <w:b w:val="false"/>
                <w:i w:val="false"/>
                <w:color w:val="000000"/>
                <w:sz w:val="20"/>
              </w:rPr>
              <w:t>
2) на участие в конкурсе представили заявку менее двух потенциальных поставщиков;</w:t>
            </w:r>
          </w:p>
          <w:p>
            <w:pPr>
              <w:spacing w:after="20"/>
              <w:ind w:left="20"/>
              <w:jc w:val="both"/>
            </w:pPr>
            <w:r>
              <w:rPr>
                <w:rFonts w:ascii="Times New Roman"/>
                <w:b w:val="false"/>
                <w:i w:val="false"/>
                <w:color w:val="000000"/>
                <w:sz w:val="20"/>
              </w:rPr>
              <w:t>
3) победитель и потенциальный поставщик, занявший второе место, уклоняются от заключения договора о закупках в установленные сроки (не позднее пяти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одного из решений если конкурс признан несостоявшимся в целом или по какой-либо части (лоту):</w:t>
            </w:r>
          </w:p>
          <w:p>
            <w:pPr>
              <w:spacing w:after="20"/>
              <w:ind w:left="20"/>
              <w:jc w:val="both"/>
            </w:pPr>
            <w:r>
              <w:rPr>
                <w:rFonts w:ascii="Times New Roman"/>
                <w:b w:val="false"/>
                <w:i w:val="false"/>
                <w:color w:val="000000"/>
                <w:sz w:val="20"/>
              </w:rPr>
              <w:t>
1) об изменении конкурсной документации и проведении повторного конкурса;</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сопоставление конкурсной комиссией конкурсных заявок, за исключением конкурсных заявок потенциальных поставщиков, не принятых к оценке и сопоставлению, и определение выигравшей конкурсной заявки на основе самой низкой цены и с учетом следующих критериев:</w:t>
            </w:r>
          </w:p>
          <w:p>
            <w:pPr>
              <w:spacing w:after="20"/>
              <w:ind w:left="20"/>
              <w:jc w:val="both"/>
            </w:pPr>
            <w:r>
              <w:rPr>
                <w:rFonts w:ascii="Times New Roman"/>
                <w:b w:val="false"/>
                <w:i w:val="false"/>
                <w:color w:val="000000"/>
                <w:sz w:val="20"/>
              </w:rPr>
              <w:t>
1) расходов на эксплуатацию, техническое обслуживание и ремонт;</w:t>
            </w:r>
          </w:p>
          <w:p>
            <w:pPr>
              <w:spacing w:after="20"/>
              <w:ind w:left="20"/>
              <w:jc w:val="both"/>
            </w:pPr>
            <w:r>
              <w:rPr>
                <w:rFonts w:ascii="Times New Roman"/>
                <w:b w:val="false"/>
                <w:i w:val="false"/>
                <w:color w:val="000000"/>
                <w:sz w:val="20"/>
              </w:rPr>
              <w:t>
2) сроков поставки товаров, выполнения работ, предоставления услуг;</w:t>
            </w:r>
          </w:p>
          <w:p>
            <w:pPr>
              <w:spacing w:after="20"/>
              <w:ind w:left="20"/>
              <w:jc w:val="both"/>
            </w:pPr>
            <w:r>
              <w:rPr>
                <w:rFonts w:ascii="Times New Roman"/>
                <w:b w:val="false"/>
                <w:i w:val="false"/>
                <w:color w:val="000000"/>
                <w:sz w:val="20"/>
              </w:rPr>
              <w:t>
3) соответствия функциональных, технических и качественных характеристик товаров, работ, услуг;</w:t>
            </w:r>
          </w:p>
          <w:p>
            <w:pPr>
              <w:spacing w:after="20"/>
              <w:ind w:left="20"/>
              <w:jc w:val="both"/>
            </w:pPr>
            <w:r>
              <w:rPr>
                <w:rFonts w:ascii="Times New Roman"/>
                <w:b w:val="false"/>
                <w:i w:val="false"/>
                <w:color w:val="000000"/>
                <w:sz w:val="20"/>
              </w:rPr>
              <w:t>
4) условия гарантий на товары, работы и услуги;</w:t>
            </w:r>
          </w:p>
          <w:p>
            <w:pPr>
              <w:spacing w:after="20"/>
              <w:ind w:left="20"/>
              <w:jc w:val="both"/>
            </w:pPr>
            <w:r>
              <w:rPr>
                <w:rFonts w:ascii="Times New Roman"/>
                <w:b w:val="false"/>
                <w:i w:val="false"/>
                <w:color w:val="000000"/>
                <w:sz w:val="20"/>
              </w:rPr>
              <w:t>
5) квалификационных данных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конкурсной комиссией итогов конкурса в срок не более пяти рабочих дней со дня вскрытия конкурсных заявок, формирование и размещение на портале протокол об итогах конкурса по закупкам товаров, работ, услуг, подписанный электронной цифровой подписью субъекта естественной монополии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 наличии следующей информации при оформлении конкурсной комиссией протокола об итогах конкурса:</w:t>
            </w:r>
          </w:p>
          <w:p>
            <w:pPr>
              <w:spacing w:after="20"/>
              <w:ind w:left="20"/>
              <w:jc w:val="both"/>
            </w:pPr>
            <w:r>
              <w:rPr>
                <w:rFonts w:ascii="Times New Roman"/>
                <w:b w:val="false"/>
                <w:i w:val="false"/>
                <w:color w:val="000000"/>
                <w:sz w:val="20"/>
              </w:rPr>
              <w:t>
1) наименования и краткие описания закупаемых товаров, работ, услуг;</w:t>
            </w:r>
          </w:p>
          <w:p>
            <w:pPr>
              <w:spacing w:after="20"/>
              <w:ind w:left="20"/>
              <w:jc w:val="both"/>
            </w:pPr>
            <w:r>
              <w:rPr>
                <w:rFonts w:ascii="Times New Roman"/>
                <w:b w:val="false"/>
                <w:i w:val="false"/>
                <w:color w:val="000000"/>
                <w:sz w:val="20"/>
              </w:rPr>
              <w:t>
2) наименования и места нахождения потенциальных поставщиков, представивших конкурсные заявки;</w:t>
            </w:r>
          </w:p>
          <w:p>
            <w:pPr>
              <w:spacing w:after="20"/>
              <w:ind w:left="20"/>
              <w:jc w:val="both"/>
            </w:pPr>
            <w:r>
              <w:rPr>
                <w:rFonts w:ascii="Times New Roman"/>
                <w:b w:val="false"/>
                <w:i w:val="false"/>
                <w:color w:val="000000"/>
                <w:sz w:val="20"/>
              </w:rPr>
              <w:t>
3) квалификационные данные потенциальных поставщиков, представивших конкурсные заявки;</w:t>
            </w:r>
          </w:p>
          <w:p>
            <w:pPr>
              <w:spacing w:after="20"/>
              <w:ind w:left="20"/>
              <w:jc w:val="both"/>
            </w:pPr>
            <w:r>
              <w:rPr>
                <w:rFonts w:ascii="Times New Roman"/>
                <w:b w:val="false"/>
                <w:i w:val="false"/>
                <w:color w:val="000000"/>
                <w:sz w:val="20"/>
              </w:rPr>
              <w:t>
4) цена и другие основные условия каждой конкурсной заявки;</w:t>
            </w:r>
          </w:p>
          <w:p>
            <w:pPr>
              <w:spacing w:after="20"/>
              <w:ind w:left="20"/>
              <w:jc w:val="both"/>
            </w:pPr>
            <w:r>
              <w:rPr>
                <w:rFonts w:ascii="Times New Roman"/>
                <w:b w:val="false"/>
                <w:i w:val="false"/>
                <w:color w:val="000000"/>
                <w:sz w:val="20"/>
              </w:rPr>
              <w:t>
5) изложение оценки и сопоставления конкурсных заявок;</w:t>
            </w:r>
          </w:p>
          <w:p>
            <w:pPr>
              <w:spacing w:after="20"/>
              <w:ind w:left="20"/>
              <w:jc w:val="both"/>
            </w:pPr>
            <w:r>
              <w:rPr>
                <w:rFonts w:ascii="Times New Roman"/>
                <w:b w:val="false"/>
                <w:i w:val="false"/>
                <w:color w:val="000000"/>
                <w:sz w:val="20"/>
              </w:rPr>
              <w:t>
6) в случае не принятия к оценке и сопоставлению конкурсных заявок – основания не принятия их к оценке и сопоставлению;</w:t>
            </w:r>
          </w:p>
          <w:p>
            <w:pPr>
              <w:spacing w:after="20"/>
              <w:ind w:left="20"/>
              <w:jc w:val="both"/>
            </w:pPr>
            <w:r>
              <w:rPr>
                <w:rFonts w:ascii="Times New Roman"/>
                <w:b w:val="false"/>
                <w:i w:val="false"/>
                <w:color w:val="000000"/>
                <w:sz w:val="20"/>
              </w:rPr>
              <w:t>
7) наименование и местонахождение победителя конкурса по каждому лоту и условия, по которым определен победитель;</w:t>
            </w:r>
          </w:p>
          <w:p>
            <w:pPr>
              <w:spacing w:after="20"/>
              <w:ind w:left="20"/>
              <w:jc w:val="both"/>
            </w:pPr>
            <w:r>
              <w:rPr>
                <w:rFonts w:ascii="Times New Roman"/>
                <w:b w:val="false"/>
                <w:i w:val="false"/>
                <w:color w:val="000000"/>
                <w:sz w:val="20"/>
              </w:rPr>
              <w:t>
8) наименование, цена потенциального поставщика, занявшего второе место;</w:t>
            </w:r>
          </w:p>
          <w:p>
            <w:pPr>
              <w:spacing w:after="20"/>
              <w:ind w:left="20"/>
              <w:jc w:val="both"/>
            </w:pPr>
            <w:r>
              <w:rPr>
                <w:rFonts w:ascii="Times New Roman"/>
                <w:b w:val="false"/>
                <w:i w:val="false"/>
                <w:color w:val="000000"/>
                <w:sz w:val="20"/>
              </w:rPr>
              <w:t>
9) если в результате конкурса не определен победитель – основания для принятия такого решения конкурсной комиссией;</w:t>
            </w:r>
          </w:p>
          <w:p>
            <w:pPr>
              <w:spacing w:after="20"/>
              <w:ind w:left="20"/>
              <w:jc w:val="both"/>
            </w:pPr>
            <w:r>
              <w:rPr>
                <w:rFonts w:ascii="Times New Roman"/>
                <w:b w:val="false"/>
                <w:i w:val="false"/>
                <w:color w:val="000000"/>
                <w:sz w:val="20"/>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p>
            <w:pPr>
              <w:spacing w:after="20"/>
              <w:ind w:left="20"/>
              <w:jc w:val="both"/>
            </w:pPr>
            <w:r>
              <w:rPr>
                <w:rFonts w:ascii="Times New Roman"/>
                <w:b w:val="false"/>
                <w:i w:val="false"/>
                <w:color w:val="000000"/>
                <w:sz w:val="20"/>
              </w:rPr>
              <w:t>
11) срок, в течение которого подписывается договор о закупках (но не более десяти рабочих дней со дня получения уведомления победителем конкурса);</w:t>
            </w:r>
          </w:p>
          <w:p>
            <w:pPr>
              <w:spacing w:after="20"/>
              <w:ind w:left="20"/>
              <w:jc w:val="both"/>
            </w:pPr>
            <w:r>
              <w:rPr>
                <w:rFonts w:ascii="Times New Roman"/>
                <w:b w:val="false"/>
                <w:i w:val="false"/>
                <w:color w:val="000000"/>
                <w:sz w:val="20"/>
              </w:rPr>
              <w:t>
12) информация о привлечении технических экспертов;</w:t>
            </w:r>
          </w:p>
          <w:p>
            <w:pPr>
              <w:spacing w:after="20"/>
              <w:ind w:left="20"/>
              <w:jc w:val="both"/>
            </w:pPr>
            <w:r>
              <w:rPr>
                <w:rFonts w:ascii="Times New Roman"/>
                <w:b w:val="false"/>
                <w:i w:val="false"/>
                <w:color w:val="000000"/>
                <w:sz w:val="20"/>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направлению посредством портала в течение трех рабочих дней со дня подведения итогов конкурса победителю конкурса уведомления и подписанного субъектом естественной монополии договора о закупках, соответствующий проекту договора в конкурсной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по требованию участника конкурса исчерпывающей информации о результатах конкурса и причинах выбора победителя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закупок способом запроса ценовых предложений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При этом решающим условием является цена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недопущению дробления годового объема закупок однородных видов товаров, работ, услуг в течение финансового года на части в целях применения способа выбора поставщика с использованием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портале, объявления о закупках способом запроса ценовых предложений и проекта договора, не менее чем за пять рабочих дней до окончания срока представления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отклонению ценового предложения потенциального поставщика, в случае если:</w:t>
            </w:r>
          </w:p>
          <w:p>
            <w:pPr>
              <w:spacing w:after="20"/>
              <w:ind w:left="20"/>
              <w:jc w:val="both"/>
            </w:pPr>
            <w:r>
              <w:rPr>
                <w:rFonts w:ascii="Times New Roman"/>
                <w:b w:val="false"/>
                <w:i w:val="false"/>
                <w:color w:val="000000"/>
                <w:sz w:val="20"/>
              </w:rPr>
              <w:t>
1) оно превышает сумму, выделенную на закупки;</w:t>
            </w:r>
          </w:p>
          <w:p>
            <w:pPr>
              <w:spacing w:after="20"/>
              <w:ind w:left="20"/>
              <w:jc w:val="both"/>
            </w:pPr>
            <w:r>
              <w:rPr>
                <w:rFonts w:ascii="Times New Roman"/>
                <w:b w:val="false"/>
                <w:i w:val="false"/>
                <w:color w:val="000000"/>
                <w:sz w:val="20"/>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p>
            <w:pPr>
              <w:spacing w:after="20"/>
              <w:ind w:left="20"/>
              <w:jc w:val="both"/>
            </w:pPr>
            <w:r>
              <w:rPr>
                <w:rFonts w:ascii="Times New Roman"/>
                <w:b w:val="false"/>
                <w:i w:val="false"/>
                <w:color w:val="000000"/>
                <w:sz w:val="20"/>
              </w:rPr>
              <w:t>
3) оно не соответствует требованиям;</w:t>
            </w:r>
          </w:p>
          <w:p>
            <w:pPr>
              <w:spacing w:after="20"/>
              <w:ind w:left="20"/>
              <w:jc w:val="both"/>
            </w:pPr>
            <w:r>
              <w:rPr>
                <w:rFonts w:ascii="Times New Roman"/>
                <w:b w:val="false"/>
                <w:i w:val="false"/>
                <w:color w:val="000000"/>
                <w:sz w:val="20"/>
              </w:rPr>
              <w:t>
4) потенциальный поставщик предоставил более одного ценового предложения;</w:t>
            </w:r>
          </w:p>
          <w:p>
            <w:pPr>
              <w:spacing w:after="20"/>
              <w:ind w:left="20"/>
              <w:jc w:val="both"/>
            </w:pPr>
            <w:r>
              <w:rPr>
                <w:rFonts w:ascii="Times New Roman"/>
                <w:b w:val="false"/>
                <w:i w:val="false"/>
                <w:color w:val="000000"/>
                <w:sz w:val="20"/>
              </w:rPr>
              <w:t>
5) потенциальный поставщик аффилирован с другими потенциальными поставщиками;</w:t>
            </w:r>
          </w:p>
          <w:p>
            <w:pPr>
              <w:spacing w:after="20"/>
              <w:ind w:left="20"/>
              <w:jc w:val="both"/>
            </w:pPr>
            <w:r>
              <w:rPr>
                <w:rFonts w:ascii="Times New Roman"/>
                <w:b w:val="false"/>
                <w:i w:val="false"/>
                <w:color w:val="000000"/>
                <w:sz w:val="20"/>
              </w:rPr>
              <w:t>
6) ценовое предложение потенциального поставщика признано демпинговым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признанию закупок способом запроса ценовых предложений несостоявшимися в случае:</w:t>
            </w:r>
          </w:p>
          <w:p>
            <w:pPr>
              <w:spacing w:after="20"/>
              <w:ind w:left="20"/>
              <w:jc w:val="both"/>
            </w:pPr>
            <w:r>
              <w:rPr>
                <w:rFonts w:ascii="Times New Roman"/>
                <w:b w:val="false"/>
                <w:i w:val="false"/>
                <w:color w:val="000000"/>
                <w:sz w:val="20"/>
              </w:rPr>
              <w:t>
1) представления менее двух ценовых предложений;</w:t>
            </w:r>
          </w:p>
          <w:p>
            <w:pPr>
              <w:spacing w:after="20"/>
              <w:ind w:left="20"/>
              <w:jc w:val="both"/>
            </w:pPr>
            <w:r>
              <w:rPr>
                <w:rFonts w:ascii="Times New Roman"/>
                <w:b w:val="false"/>
                <w:i w:val="false"/>
                <w:color w:val="000000"/>
                <w:sz w:val="20"/>
              </w:rPr>
              <w:t>
2) если после автоматического отклонения порталом ценовых предложений осталось менее двух ценовых предложений;</w:t>
            </w:r>
          </w:p>
          <w:p>
            <w:pPr>
              <w:spacing w:after="20"/>
              <w:ind w:left="20"/>
              <w:jc w:val="both"/>
            </w:pPr>
            <w:r>
              <w:rPr>
                <w:rFonts w:ascii="Times New Roman"/>
                <w:b w:val="false"/>
                <w:i w:val="false"/>
                <w:color w:val="000000"/>
                <w:sz w:val="20"/>
              </w:rPr>
              <w:t>
3) победитель и потенциальный поставщик, занявшие второе место, уклонились от заключения договора о закупках в не позднее пяти рабочих дней со дня получения уведомления о признании победителем закупок способом запроса ценовых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одного из решений если закупки способом запроса ценовых предложений признаны автоматически порталом несостоявшимися:</w:t>
            </w:r>
          </w:p>
          <w:p>
            <w:pPr>
              <w:spacing w:after="20"/>
              <w:ind w:left="20"/>
              <w:jc w:val="both"/>
            </w:pPr>
            <w:r>
              <w:rPr>
                <w:rFonts w:ascii="Times New Roman"/>
                <w:b w:val="false"/>
                <w:i w:val="false"/>
                <w:color w:val="000000"/>
                <w:sz w:val="20"/>
              </w:rPr>
              <w:t>
1) об изменении условий закупок и о проведении повторных закупок способом запроса ценовых предложений;</w:t>
            </w:r>
          </w:p>
          <w:p>
            <w:pPr>
              <w:spacing w:after="20"/>
              <w:ind w:left="20"/>
              <w:jc w:val="both"/>
            </w:pPr>
            <w:r>
              <w:rPr>
                <w:rFonts w:ascii="Times New Roman"/>
                <w:b w:val="false"/>
                <w:i w:val="false"/>
                <w:color w:val="000000"/>
                <w:sz w:val="20"/>
              </w:rPr>
              <w:t>
2) об осуществлении закупок способом из одного 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закупок способом из одного источника посредством портала только в случаях:</w:t>
            </w:r>
          </w:p>
          <w:p>
            <w:pPr>
              <w:spacing w:after="20"/>
              <w:ind w:left="20"/>
              <w:jc w:val="both"/>
            </w:pPr>
            <w:r>
              <w:rPr>
                <w:rFonts w:ascii="Times New Roman"/>
                <w:b w:val="false"/>
                <w:i w:val="false"/>
                <w:color w:val="000000"/>
                <w:sz w:val="20"/>
              </w:rPr>
              <w:t>
1) если закупки способом конкурса или запроса ценовых предложений признаны несостоявшимися;</w:t>
            </w:r>
          </w:p>
          <w:p>
            <w:pPr>
              <w:spacing w:after="20"/>
              <w:ind w:left="20"/>
              <w:jc w:val="both"/>
            </w:pPr>
            <w:r>
              <w:rPr>
                <w:rFonts w:ascii="Times New Roman"/>
                <w:b w:val="false"/>
                <w:i w:val="false"/>
                <w:color w:val="000000"/>
                <w:sz w:val="20"/>
              </w:rPr>
              <w:t>
2) приобретения товаров, работ, услуг по ценам, тарифам, на которые установлено государственное регулирование;</w:t>
            </w:r>
          </w:p>
          <w:p>
            <w:pPr>
              <w:spacing w:after="20"/>
              <w:ind w:left="20"/>
              <w:jc w:val="both"/>
            </w:pPr>
            <w:r>
              <w:rPr>
                <w:rFonts w:ascii="Times New Roman"/>
                <w:b w:val="false"/>
                <w:i w:val="false"/>
                <w:color w:val="000000"/>
                <w:sz w:val="20"/>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pPr>
              <w:spacing w:after="20"/>
              <w:ind w:left="20"/>
              <w:jc w:val="both"/>
            </w:pPr>
            <w:r>
              <w:rPr>
                <w:rFonts w:ascii="Times New Roman"/>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pPr>
              <w:spacing w:after="20"/>
              <w:ind w:left="20"/>
              <w:jc w:val="both"/>
            </w:pPr>
            <w:r>
              <w:rPr>
                <w:rFonts w:ascii="Times New Roman"/>
                <w:b w:val="false"/>
                <w:i w:val="false"/>
                <w:color w:val="000000"/>
                <w:sz w:val="20"/>
              </w:rPr>
              <w:t>
5) приобретения товаров, работ, услуг, связанных с представительскими расходами;</w:t>
            </w:r>
          </w:p>
          <w:p>
            <w:pPr>
              <w:spacing w:after="20"/>
              <w:ind w:left="20"/>
              <w:jc w:val="both"/>
            </w:pPr>
            <w:r>
              <w:rPr>
                <w:rFonts w:ascii="Times New Roman"/>
                <w:b w:val="false"/>
                <w:i w:val="false"/>
                <w:color w:val="000000"/>
                <w:sz w:val="20"/>
              </w:rPr>
              <w:t>
6) приобретения периодических печатных изданий на бумажном носителе и (или) в электронной форме;</w:t>
            </w:r>
          </w:p>
          <w:p>
            <w:pPr>
              <w:spacing w:after="20"/>
              <w:ind w:left="20"/>
              <w:jc w:val="both"/>
            </w:pPr>
            <w:r>
              <w:rPr>
                <w:rFonts w:ascii="Times New Roman"/>
                <w:b w:val="false"/>
                <w:i w:val="false"/>
                <w:color w:val="000000"/>
                <w:sz w:val="20"/>
              </w:rPr>
              <w:t>
7) приобретения имущества (активов), реализуемого на торгах (аукционах):</w:t>
            </w:r>
          </w:p>
          <w:p>
            <w:pPr>
              <w:spacing w:after="20"/>
              <w:ind w:left="20"/>
              <w:jc w:val="both"/>
            </w:pPr>
            <w:r>
              <w:rPr>
                <w:rFonts w:ascii="Times New Roman"/>
                <w:b w:val="false"/>
                <w:i w:val="false"/>
                <w:color w:val="000000"/>
                <w:sz w:val="20"/>
              </w:rPr>
              <w:t>
судебными исполнителями;</w:t>
            </w:r>
          </w:p>
          <w:p>
            <w:pPr>
              <w:spacing w:after="20"/>
              <w:ind w:left="20"/>
              <w:jc w:val="both"/>
            </w:pPr>
            <w:r>
              <w:rPr>
                <w:rFonts w:ascii="Times New Roman"/>
                <w:b w:val="false"/>
                <w:i w:val="false"/>
                <w:color w:val="000000"/>
                <w:sz w:val="20"/>
              </w:rPr>
              <w:t>
по реабилитации и банкротстве;</w:t>
            </w:r>
          </w:p>
          <w:p>
            <w:pPr>
              <w:spacing w:after="20"/>
              <w:ind w:left="20"/>
              <w:jc w:val="both"/>
            </w:pPr>
            <w:r>
              <w:rPr>
                <w:rFonts w:ascii="Times New Roman"/>
                <w:b w:val="false"/>
                <w:i w:val="false"/>
                <w:color w:val="000000"/>
                <w:sz w:val="20"/>
              </w:rPr>
              <w:t>
при приватизации государственного имущества;</w:t>
            </w:r>
          </w:p>
          <w:p>
            <w:pPr>
              <w:spacing w:after="20"/>
              <w:ind w:left="20"/>
              <w:jc w:val="both"/>
            </w:pPr>
            <w:r>
              <w:rPr>
                <w:rFonts w:ascii="Times New Roman"/>
                <w:b w:val="false"/>
                <w:i w:val="false"/>
                <w:color w:val="000000"/>
                <w:sz w:val="20"/>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w:t>
            </w:r>
          </w:p>
          <w:p>
            <w:pPr>
              <w:spacing w:after="20"/>
              <w:ind w:left="20"/>
              <w:jc w:val="both"/>
            </w:pPr>
            <w:r>
              <w:rPr>
                <w:rFonts w:ascii="Times New Roman"/>
                <w:b w:val="false"/>
                <w:i w:val="false"/>
                <w:color w:val="000000"/>
                <w:sz w:val="20"/>
              </w:rPr>
              <w:t>
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20"/>
              <w:ind w:left="20"/>
              <w:jc w:val="both"/>
            </w:pPr>
            <w:r>
              <w:rPr>
                <w:rFonts w:ascii="Times New Roman"/>
                <w:b w:val="false"/>
                <w:i w:val="false"/>
                <w:color w:val="000000"/>
                <w:sz w:val="20"/>
              </w:rPr>
              <w:t>
10) когда у субъекта естественной монополии, закупившего товары, работы, услуги поставщика, возникает потребность в приобретении товаров, работ, услуг у того же поставщика в целях унификации, стандартизации или обеспечения совместимости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ежегодно не позднее 1 мая года, следующего за отчетным периодом, отчетов об исполнении утвержденной тарифной сметы, об исполнении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отчетов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не позднее пяти календарных дней со дня проведения отчета в средствах массовой информации, в том числе на своем интернет-ресурсе либо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о тарифе, об условиях предоставления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не позднее 1 августа текущего календарного года и 1 мая следующего календарного года проводить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о тарифе, его изменении не позднее, чем за тридцать календарных дней до введения его в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субъектом естественной монополии: созданного впервые; оказывающего новую регулируемую услугу (новые регулируемые услуги); в случае приобретения (строительства) новых объектов и (или) участков, если действующий тариф утвержден раздельно по объектам и (или) участкам;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 субъекта естественной монополии малой мощности заявки на утверждение тарифа с применением затратного метода тарифного регулирования по истечении срока действия тарифа, утвержденного в упрощенном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переданного (направленного) уведомления об осуществлении субъектом естественной монополии деятельности, не относящейся к регулируемым услугам в уполномоченный орган в срок не позднее десяти рабочих дней со дня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включение в тариф затрат, не связанных с предоставлением регулируемой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перерасчета стоимости регулируемой услуги по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снабжению тепловой энергией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методики ведения раздельного учета доходов, затрат и задействованных активов по каждому виду регулируемых услуг субъектов естественных монополий в соответствии с порядком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утвержденной тарифной сметы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утвержденной инвестиционной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 уполномоченным органом договора доверительного управления по передаче магистральных каналов с отводящими межхозяйственными и внутрихозяйственными каналами для расширения, модернизации, реконструкции и улучшения технического состояния, находящихся в собственности у субъекта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уполномоченного органа за месяц до проведения отчета перед потребителями и иными заинтересованными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направленной информации в уполномоченный орган субъектом естественной монополии малой мощности до реорганизации или ликвидации не менее чем за десять календарных дней о своем намерении совершить указанные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 требованию потребителей информации, содержащейся в утвержденных тарифной смете и инвестиционной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ежегодно, в срок до 31 декабря для сведения ведомству уполномоченного органа или его территориальному органу перечня закупаемых субъектом естественной монополии товаров, работ и услуг, затраты на которые учитываются при утверждении тарифа с применением затратного метода тарифного регулирования на следующий календарный год, утвержденного приказом первого руководителя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передачи информации, сведений о закупках, осуществляемых в информационных системах электронных закупок,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учитывание в затратной части тарифа следующих расходов:</w:t>
            </w:r>
          </w:p>
          <w:p>
            <w:pPr>
              <w:spacing w:after="20"/>
              <w:ind w:left="20"/>
              <w:jc w:val="both"/>
            </w:pPr>
            <w:r>
              <w:rPr>
                <w:rFonts w:ascii="Times New Roman"/>
                <w:b w:val="false"/>
                <w:i w:val="false"/>
                <w:color w:val="000000"/>
                <w:sz w:val="20"/>
              </w:rPr>
              <w:t>
1)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p>
            <w:pPr>
              <w:spacing w:after="20"/>
              <w:ind w:left="20"/>
              <w:jc w:val="both"/>
            </w:pPr>
            <w:r>
              <w:rPr>
                <w:rFonts w:ascii="Times New Roman"/>
                <w:b w:val="false"/>
                <w:i w:val="false"/>
                <w:color w:val="000000"/>
                <w:sz w:val="20"/>
              </w:rPr>
              <w:t>
2) амортизационные отчисления основных средств, не используемых при предоставлении регулируемых услуг, либо не находящихся на балансе субъекта;</w:t>
            </w:r>
          </w:p>
          <w:p>
            <w:pPr>
              <w:spacing w:after="20"/>
              <w:ind w:left="20"/>
              <w:jc w:val="both"/>
            </w:pPr>
            <w:r>
              <w:rPr>
                <w:rFonts w:ascii="Times New Roman"/>
                <w:b w:val="false"/>
                <w:i w:val="false"/>
                <w:color w:val="000000"/>
                <w:sz w:val="20"/>
              </w:rPr>
              <w:t>
3)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 за исключением платы за пользование магистральным газопроводом по маршруту Караозек (Кызылординская область) – Жезказган – Караганда – Темиртау – Астана, полученным в аренду, доверительное управление или в имущественный наем, включающую в себя налоговые обязательства по имуществу и выплаты за привлекаемые инвестиции, связанные со строительством магистрального газопровода по указанному маршруту;</w:t>
            </w:r>
          </w:p>
          <w:p>
            <w:pPr>
              <w:spacing w:after="20"/>
              <w:ind w:left="20"/>
              <w:jc w:val="both"/>
            </w:pPr>
            <w:r>
              <w:rPr>
                <w:rFonts w:ascii="Times New Roman"/>
                <w:b w:val="false"/>
                <w:i w:val="false"/>
                <w:color w:val="000000"/>
                <w:sz w:val="20"/>
              </w:rPr>
              <w:t>
4) на содержание и ремонт основных средств, не находящихся на балансе субъекта, за исключением содержания и ремонта основных средств,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а также содержание и ремонт магистрального газопровода по маршруту Караозек (Кызылординская область) – Жезказган – Караганда Темиртау – Астана. При этом, затраты на содержание и ремонт газораспределительных сетей, полученных по договору доверительного управления от местных исполнительных органов, включаются в тариф поэтапно на каждый год периода его действия. Этапы включения затрат на содержание и ремонт определяются ведомством уполномоченного органа. Затраты на содержание (эксплуатацию) и ремонт сетей передачи электрической энергии, полученных в доверительное управление от местных исполнительных органов не могут превышать уровень инфляции предусмотренный Прогнозом социально-экономического развития Республики Казахстан от суммы затрат тарифной сметы;</w:t>
            </w:r>
          </w:p>
          <w:p>
            <w:pPr>
              <w:spacing w:after="20"/>
              <w:ind w:left="20"/>
              <w:jc w:val="both"/>
            </w:pPr>
            <w:r>
              <w:rPr>
                <w:rFonts w:ascii="Times New Roman"/>
                <w:b w:val="false"/>
                <w:i w:val="false"/>
                <w:color w:val="000000"/>
                <w:sz w:val="20"/>
              </w:rPr>
              <w:t>
5) платежи за сверхнормативные выбросы (сбросы) загрязняющих веществ;</w:t>
            </w:r>
          </w:p>
          <w:p>
            <w:pPr>
              <w:spacing w:after="20"/>
              <w:ind w:left="20"/>
              <w:jc w:val="both"/>
            </w:pPr>
            <w:r>
              <w:rPr>
                <w:rFonts w:ascii="Times New Roman"/>
                <w:b w:val="false"/>
                <w:i w:val="false"/>
                <w:color w:val="000000"/>
                <w:sz w:val="20"/>
              </w:rPr>
              <w:t>
6) судебные издержки;</w:t>
            </w:r>
          </w:p>
          <w:p>
            <w:pPr>
              <w:spacing w:after="20"/>
              <w:ind w:left="20"/>
              <w:jc w:val="both"/>
            </w:pPr>
            <w:r>
              <w:rPr>
                <w:rFonts w:ascii="Times New Roman"/>
                <w:b w:val="false"/>
                <w:i w:val="false"/>
                <w:color w:val="000000"/>
                <w:sz w:val="20"/>
              </w:rPr>
              <w:t>
7) безнадежная задолженность;</w:t>
            </w:r>
          </w:p>
          <w:p>
            <w:pPr>
              <w:spacing w:after="20"/>
              <w:ind w:left="20"/>
              <w:jc w:val="both"/>
            </w:pPr>
            <w:r>
              <w:rPr>
                <w:rFonts w:ascii="Times New Roman"/>
                <w:b w:val="false"/>
                <w:i w:val="false"/>
                <w:color w:val="000000"/>
                <w:sz w:val="20"/>
              </w:rPr>
              <w:t>
8) штрафы, пени, неустойки и другие виды санкций за нарушение условий хозяйственных договоров;</w:t>
            </w:r>
          </w:p>
          <w:p>
            <w:pPr>
              <w:spacing w:after="20"/>
              <w:ind w:left="20"/>
              <w:jc w:val="both"/>
            </w:pPr>
            <w:r>
              <w:rPr>
                <w:rFonts w:ascii="Times New Roman"/>
                <w:b w:val="false"/>
                <w:i w:val="false"/>
                <w:color w:val="000000"/>
                <w:sz w:val="20"/>
              </w:rPr>
              <w:t>
9) штрафы и пени за сокрытие (занижение) дохода;</w:t>
            </w:r>
          </w:p>
          <w:p>
            <w:pPr>
              <w:spacing w:after="20"/>
              <w:ind w:left="20"/>
              <w:jc w:val="both"/>
            </w:pPr>
            <w:r>
              <w:rPr>
                <w:rFonts w:ascii="Times New Roman"/>
                <w:b w:val="false"/>
                <w:i w:val="false"/>
                <w:color w:val="000000"/>
                <w:sz w:val="20"/>
              </w:rPr>
              <w:t>
10) убытки от хищений;</w:t>
            </w:r>
          </w:p>
          <w:p>
            <w:pPr>
              <w:spacing w:after="20"/>
              <w:ind w:left="20"/>
              <w:jc w:val="both"/>
            </w:pPr>
            <w:r>
              <w:rPr>
                <w:rFonts w:ascii="Times New Roman"/>
                <w:b w:val="false"/>
                <w:i w:val="false"/>
                <w:color w:val="000000"/>
                <w:sz w:val="20"/>
              </w:rPr>
              <w:t>
11) потери от брака используемых для предоставления регулируемой услуги основных средств, материалов;</w:t>
            </w:r>
          </w:p>
          <w:p>
            <w:pPr>
              <w:spacing w:after="20"/>
              <w:ind w:left="20"/>
              <w:jc w:val="both"/>
            </w:pPr>
            <w:r>
              <w:rPr>
                <w:rFonts w:ascii="Times New Roman"/>
                <w:b w:val="false"/>
                <w:i w:val="false"/>
                <w:color w:val="000000"/>
                <w:sz w:val="20"/>
              </w:rPr>
              <w:t>
12)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p>
            <w:pPr>
              <w:spacing w:after="20"/>
              <w:ind w:left="20"/>
              <w:jc w:val="both"/>
            </w:pPr>
            <w:r>
              <w:rPr>
                <w:rFonts w:ascii="Times New Roman"/>
                <w:b w:val="false"/>
                <w:i w:val="false"/>
                <w:color w:val="000000"/>
                <w:sz w:val="20"/>
              </w:rPr>
              <w:t>
13) на содержание объектов здравоохранения, детских дошкольных учреждений, учебных заведений, профессионально технических училищ, кроме технологически необходимых, согласованных с компетентным органом;</w:t>
            </w:r>
          </w:p>
          <w:p>
            <w:pPr>
              <w:spacing w:after="20"/>
              <w:ind w:left="20"/>
              <w:jc w:val="both"/>
            </w:pPr>
            <w:r>
              <w:rPr>
                <w:rFonts w:ascii="Times New Roman"/>
                <w:b w:val="false"/>
                <w:i w:val="false"/>
                <w:color w:val="000000"/>
                <w:sz w:val="20"/>
              </w:rPr>
              <w:t>
14) на содержание оздоровительных лагерей, объектов культуры и спорта, жилого фонда;</w:t>
            </w:r>
          </w:p>
          <w:p>
            <w:pPr>
              <w:spacing w:after="20"/>
              <w:ind w:left="20"/>
              <w:jc w:val="both"/>
            </w:pPr>
            <w:r>
              <w:rPr>
                <w:rFonts w:ascii="Times New Roman"/>
                <w:b w:val="false"/>
                <w:i w:val="false"/>
                <w:color w:val="000000"/>
                <w:sz w:val="20"/>
              </w:rPr>
              <w:t>
15) на проведение культурно-просветительных, оздоровительных и спортивных мероприятий (проведение вечеров отдыха, спектаклей, концертов);</w:t>
            </w:r>
          </w:p>
          <w:p>
            <w:pPr>
              <w:spacing w:after="20"/>
              <w:ind w:left="20"/>
              <w:jc w:val="both"/>
            </w:pPr>
            <w:r>
              <w:rPr>
                <w:rFonts w:ascii="Times New Roman"/>
                <w:b w:val="false"/>
                <w:i w:val="false"/>
                <w:color w:val="000000"/>
                <w:sz w:val="20"/>
              </w:rPr>
              <w:t>
16)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p>
            <w:pPr>
              <w:spacing w:after="20"/>
              <w:ind w:left="20"/>
              <w:jc w:val="both"/>
            </w:pPr>
            <w:r>
              <w:rPr>
                <w:rFonts w:ascii="Times New Roman"/>
                <w:b w:val="false"/>
                <w:i w:val="false"/>
                <w:color w:val="000000"/>
                <w:sz w:val="20"/>
              </w:rPr>
              <w:t>
17) по благоустройству садовых товариществ (в том числе, строительство дорог, энерго- и водоснабжение, осуществление других расходов общего характера);</w:t>
            </w:r>
          </w:p>
          <w:p>
            <w:pPr>
              <w:spacing w:after="20"/>
              <w:ind w:left="20"/>
              <w:jc w:val="both"/>
            </w:pPr>
            <w:r>
              <w:rPr>
                <w:rFonts w:ascii="Times New Roman"/>
                <w:b w:val="false"/>
                <w:i w:val="false"/>
                <w:color w:val="000000"/>
                <w:sz w:val="20"/>
              </w:rPr>
              <w:t>
18) на проведение и организацию лекций, выставок, диспутов, встреч с деятелями науки и искусства, научно технических конференций, членские взносы в общественные организации и ассоциации;</w:t>
            </w:r>
          </w:p>
          <w:p>
            <w:pPr>
              <w:spacing w:after="20"/>
              <w:ind w:left="20"/>
              <w:jc w:val="both"/>
            </w:pPr>
            <w:r>
              <w:rPr>
                <w:rFonts w:ascii="Times New Roman"/>
                <w:b w:val="false"/>
                <w:i w:val="false"/>
                <w:color w:val="000000"/>
                <w:sz w:val="20"/>
              </w:rPr>
              <w:t>
19)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p>
            <w:pPr>
              <w:spacing w:after="20"/>
              <w:ind w:left="20"/>
              <w:jc w:val="both"/>
            </w:pPr>
            <w:r>
              <w:rPr>
                <w:rFonts w:ascii="Times New Roman"/>
                <w:b w:val="false"/>
                <w:i w:val="false"/>
                <w:color w:val="000000"/>
                <w:sz w:val="20"/>
              </w:rPr>
              <w:t>
20)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p>
            <w:pPr>
              <w:spacing w:after="20"/>
              <w:ind w:left="20"/>
              <w:jc w:val="both"/>
            </w:pPr>
            <w:r>
              <w:rPr>
                <w:rFonts w:ascii="Times New Roman"/>
                <w:b w:val="false"/>
                <w:i w:val="false"/>
                <w:color w:val="000000"/>
                <w:sz w:val="20"/>
              </w:rPr>
              <w:t>
21) на выполнение работ по благоустройству города, предоставлению помощи сельскому хозяйству и другие подобного рода работы;</w:t>
            </w:r>
          </w:p>
          <w:p>
            <w:pPr>
              <w:spacing w:after="20"/>
              <w:ind w:left="20"/>
              <w:jc w:val="both"/>
            </w:pPr>
            <w:r>
              <w:rPr>
                <w:rFonts w:ascii="Times New Roman"/>
                <w:b w:val="false"/>
                <w:i w:val="false"/>
                <w:color w:val="000000"/>
                <w:sz w:val="20"/>
              </w:rPr>
              <w:t>
22) на оплату отпусков работникам, обучающихся в организации образования;</w:t>
            </w:r>
          </w:p>
          <w:p>
            <w:pPr>
              <w:spacing w:after="20"/>
              <w:ind w:left="20"/>
              <w:jc w:val="both"/>
            </w:pPr>
            <w:r>
              <w:rPr>
                <w:rFonts w:ascii="Times New Roman"/>
                <w:b w:val="false"/>
                <w:i w:val="false"/>
                <w:color w:val="000000"/>
                <w:sz w:val="20"/>
              </w:rPr>
              <w:t>
23) на премирование и другие формы вознаграждения по итогам работы;</w:t>
            </w:r>
          </w:p>
          <w:p>
            <w:pPr>
              <w:spacing w:after="20"/>
              <w:ind w:left="20"/>
              <w:jc w:val="both"/>
            </w:pPr>
            <w:r>
              <w:rPr>
                <w:rFonts w:ascii="Times New Roman"/>
                <w:b w:val="false"/>
                <w:i w:val="false"/>
                <w:color w:val="000000"/>
                <w:sz w:val="20"/>
              </w:rPr>
              <w:t>
24)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p>
            <w:pPr>
              <w:spacing w:after="20"/>
              <w:ind w:left="20"/>
              <w:jc w:val="both"/>
            </w:pPr>
            <w:r>
              <w:rPr>
                <w:rFonts w:ascii="Times New Roman"/>
                <w:b w:val="false"/>
                <w:i w:val="false"/>
                <w:color w:val="000000"/>
                <w:sz w:val="20"/>
              </w:rPr>
              <w:t>
25) по оплате услуг поликлиник по договорам, заключенным с органами здравоохранения на предоставление своим работникам медицинской помощи;</w:t>
            </w:r>
          </w:p>
          <w:p>
            <w:pPr>
              <w:spacing w:after="20"/>
              <w:ind w:left="20"/>
              <w:jc w:val="both"/>
            </w:pPr>
            <w:r>
              <w:rPr>
                <w:rFonts w:ascii="Times New Roman"/>
                <w:b w:val="false"/>
                <w:i w:val="false"/>
                <w:color w:val="000000"/>
                <w:sz w:val="20"/>
              </w:rPr>
              <w:t>
26)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p>
            <w:pPr>
              <w:spacing w:after="20"/>
              <w:ind w:left="20"/>
              <w:jc w:val="both"/>
            </w:pPr>
            <w:r>
              <w:rPr>
                <w:rFonts w:ascii="Times New Roman"/>
                <w:b w:val="false"/>
                <w:i w:val="false"/>
                <w:color w:val="000000"/>
                <w:sz w:val="20"/>
              </w:rPr>
              <w:t>
27)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p>
            <w:pPr>
              <w:spacing w:after="20"/>
              <w:ind w:left="20"/>
              <w:jc w:val="both"/>
            </w:pPr>
            <w:r>
              <w:rPr>
                <w:rFonts w:ascii="Times New Roman"/>
                <w:b w:val="false"/>
                <w:i w:val="false"/>
                <w:color w:val="000000"/>
                <w:sz w:val="20"/>
              </w:rPr>
              <w:t>
28) на предоставление всех видов спонсорской помощи;</w:t>
            </w:r>
          </w:p>
          <w:p>
            <w:pPr>
              <w:spacing w:after="20"/>
              <w:ind w:left="20"/>
              <w:jc w:val="both"/>
            </w:pPr>
            <w:r>
              <w:rPr>
                <w:rFonts w:ascii="Times New Roman"/>
                <w:b w:val="false"/>
                <w:i w:val="false"/>
                <w:color w:val="000000"/>
                <w:sz w:val="20"/>
              </w:rPr>
              <w:t>
29)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w:t>
            </w:r>
          </w:p>
          <w:p>
            <w:pPr>
              <w:spacing w:after="20"/>
              <w:ind w:left="20"/>
              <w:jc w:val="both"/>
            </w:pPr>
            <w:r>
              <w:rPr>
                <w:rFonts w:ascii="Times New Roman"/>
                <w:b w:val="false"/>
                <w:i w:val="false"/>
                <w:color w:val="000000"/>
                <w:sz w:val="20"/>
              </w:rPr>
              <w:t>
30)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p>
            <w:pPr>
              <w:spacing w:after="20"/>
              <w:ind w:left="20"/>
              <w:jc w:val="both"/>
            </w:pPr>
            <w:r>
              <w:rPr>
                <w:rFonts w:ascii="Times New Roman"/>
                <w:b w:val="false"/>
                <w:i w:val="false"/>
                <w:color w:val="000000"/>
                <w:sz w:val="20"/>
              </w:rPr>
              <w:t>
31) на компенсацию стоимости питания детям, находящимся в дошкольных учреждениях, санаториях и оздоровительных лагерях;</w:t>
            </w:r>
          </w:p>
          <w:p>
            <w:pPr>
              <w:spacing w:after="20"/>
              <w:ind w:left="20"/>
              <w:jc w:val="both"/>
            </w:pPr>
            <w:r>
              <w:rPr>
                <w:rFonts w:ascii="Times New Roman"/>
                <w:b w:val="false"/>
                <w:i w:val="false"/>
                <w:color w:val="000000"/>
                <w:sz w:val="20"/>
              </w:rPr>
              <w:t>
32) на услуги банков и организации, осуществляющих отдельные виды банковских операций по приему коммунальных платежей от потребителей;</w:t>
            </w:r>
          </w:p>
          <w:p>
            <w:pPr>
              <w:spacing w:after="20"/>
              <w:ind w:left="20"/>
              <w:jc w:val="both"/>
            </w:pPr>
            <w:r>
              <w:rPr>
                <w:rFonts w:ascii="Times New Roman"/>
                <w:b w:val="false"/>
                <w:i w:val="false"/>
                <w:color w:val="000000"/>
                <w:sz w:val="20"/>
              </w:rPr>
              <w:t>
33) отчисления профсоюзам на цели, определенные коллективным договором;</w:t>
            </w:r>
          </w:p>
          <w:p>
            <w:pPr>
              <w:spacing w:after="20"/>
              <w:ind w:left="20"/>
              <w:jc w:val="both"/>
            </w:pPr>
            <w:r>
              <w:rPr>
                <w:rFonts w:ascii="Times New Roman"/>
                <w:b w:val="false"/>
                <w:i w:val="false"/>
                <w:color w:val="000000"/>
                <w:sz w:val="20"/>
              </w:rPr>
              <w:t>
34)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p>
            <w:pPr>
              <w:spacing w:after="20"/>
              <w:ind w:left="20"/>
              <w:jc w:val="both"/>
            </w:pPr>
            <w:r>
              <w:rPr>
                <w:rFonts w:ascii="Times New Roman"/>
                <w:b w:val="false"/>
                <w:i w:val="false"/>
                <w:color w:val="000000"/>
                <w:sz w:val="20"/>
              </w:rPr>
              <w:t>
35) расходы, не относящиеся к производству и предоставлению регулируемых услуг и приводящие к росту тарифов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закупок стратегических товаров субъектом естественной монополии непосредственно у производителей стратегических товаров, за исключением случаев:</w:t>
            </w:r>
          </w:p>
          <w:p>
            <w:pPr>
              <w:spacing w:after="20"/>
              <w:ind w:left="20"/>
              <w:jc w:val="both"/>
            </w:pPr>
            <w:r>
              <w:rPr>
                <w:rFonts w:ascii="Times New Roman"/>
                <w:b w:val="false"/>
                <w:i w:val="false"/>
                <w:color w:val="000000"/>
                <w:sz w:val="20"/>
              </w:rPr>
              <w:t>
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pPr>
              <w:spacing w:after="20"/>
              <w:ind w:left="20"/>
              <w:jc w:val="both"/>
            </w:pPr>
            <w:r>
              <w:rPr>
                <w:rFonts w:ascii="Times New Roman"/>
                <w:b w:val="false"/>
                <w:i w:val="false"/>
                <w:color w:val="000000"/>
                <w:sz w:val="20"/>
              </w:rPr>
              <w:t>
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20"/>
              <w:ind w:left="20"/>
              <w:jc w:val="both"/>
            </w:pPr>
            <w:r>
              <w:rPr>
                <w:rFonts w:ascii="Times New Roman"/>
                <w:b w:val="false"/>
                <w:i w:val="false"/>
                <w:color w:val="000000"/>
                <w:sz w:val="20"/>
              </w:rPr>
              <w:t>
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
          <w:p>
            <w:pPr>
              <w:spacing w:after="20"/>
              <w:ind w:left="20"/>
              <w:jc w:val="both"/>
            </w:pPr>
            <w:r>
              <w:rPr>
                <w:rFonts w:ascii="Times New Roman"/>
                <w:b w:val="false"/>
                <w:i w:val="false"/>
                <w:color w:val="000000"/>
                <w:sz w:val="20"/>
              </w:rPr>
              <w:t>
4) закупки газа у газораспределительных организаций;</w:t>
            </w:r>
          </w:p>
          <w:p>
            <w:pPr>
              <w:spacing w:after="20"/>
              <w:ind w:left="20"/>
              <w:jc w:val="both"/>
            </w:pPr>
            <w:r>
              <w:rPr>
                <w:rFonts w:ascii="Times New Roman"/>
                <w:b w:val="false"/>
                <w:i w:val="false"/>
                <w:color w:val="000000"/>
                <w:sz w:val="20"/>
              </w:rPr>
              <w:t>
5) закупки электрической энергии;</w:t>
            </w:r>
          </w:p>
          <w:p>
            <w:pPr>
              <w:spacing w:after="20"/>
              <w:ind w:left="20"/>
              <w:jc w:val="both"/>
            </w:pPr>
            <w:r>
              <w:rPr>
                <w:rFonts w:ascii="Times New Roman"/>
                <w:b w:val="false"/>
                <w:i w:val="false"/>
                <w:color w:val="000000"/>
                <w:sz w:val="20"/>
              </w:rPr>
              <w:t>
6) закупки балансирующей электроэнергии, электрической энергии на централизованных торгах, спот-рынке;</w:t>
            </w:r>
          </w:p>
          <w:p>
            <w:pPr>
              <w:spacing w:after="20"/>
              <w:ind w:left="20"/>
              <w:jc w:val="both"/>
            </w:pPr>
            <w:r>
              <w:rPr>
                <w:rFonts w:ascii="Times New Roman"/>
                <w:b w:val="false"/>
                <w:i w:val="false"/>
                <w:color w:val="000000"/>
                <w:sz w:val="20"/>
              </w:rPr>
              <w:t>
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утверждении тарифа с применением стимулирующего метода тарифного регулирования ежегодно в срок не позднее 1 мая отчетного периода представлять в уполномоченный орган, иной государственный орган либо местный исполнительный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 позднее 1 августа текущего календарного года и 1 мая следующего календарного года в средствах массовой информации, распространяемых на территории соответствующей административно-территориальной единицы, отчетов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размещение отчета по предоставлению коммунальных услуг в сферах естественных монополий перед потребителями и иными заинтересованными лицами не позднее пяти календарных дней со дня проведения отчета в периодическом печатном издании, на своем интернет-ресурсе либо интернет-ресурсе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после опубликования в периодическом печатном издании объявления о дате и месте проведения публичных слушаний представить по требованию участников публичных слушаний:</w:t>
            </w:r>
          </w:p>
          <w:p>
            <w:pPr>
              <w:spacing w:after="20"/>
              <w:ind w:left="20"/>
              <w:jc w:val="both"/>
            </w:pPr>
            <w:r>
              <w:rPr>
                <w:rFonts w:ascii="Times New Roman"/>
                <w:b w:val="false"/>
                <w:i w:val="false"/>
                <w:color w:val="000000"/>
                <w:sz w:val="20"/>
              </w:rPr>
              <w:t>
1) проекты тарифа и тарифной сметы;</w:t>
            </w:r>
          </w:p>
          <w:p>
            <w:pPr>
              <w:spacing w:after="20"/>
              <w:ind w:left="20"/>
              <w:jc w:val="both"/>
            </w:pPr>
            <w:r>
              <w:rPr>
                <w:rFonts w:ascii="Times New Roman"/>
                <w:b w:val="false"/>
                <w:i w:val="false"/>
                <w:color w:val="000000"/>
                <w:sz w:val="20"/>
              </w:rPr>
              <w:t>
2) информацию о причинах изменения тарифа с экономически обоснованными расчетами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объявления о предстоящем проведении отчета субъектом естественной монополии, включенным в местный раздел Государственного регистра субъектов естественных монополий,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субъектов естественных монополий, – в периодическом печатном издании, выпускаемом не реже одного раза в неделю и распространяемом на всей территории Республики Казахстан, не позднее, чем за пятнадцать рабочих дней до его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ежеквартально на своем интернет-ресурсе либо в случае его отсутствия представление уполномоченному органу для размещения на его интернет-ресурсе:</w:t>
            </w:r>
          </w:p>
          <w:p>
            <w:pPr>
              <w:spacing w:after="20"/>
              <w:ind w:left="20"/>
              <w:jc w:val="both"/>
            </w:pPr>
            <w:r>
              <w:rPr>
                <w:rFonts w:ascii="Times New Roman"/>
                <w:b w:val="false"/>
                <w:i w:val="false"/>
                <w:color w:val="000000"/>
                <w:sz w:val="20"/>
              </w:rPr>
              <w:t>
1) информацию о резерве, наличии свободных и доступных мощностей, емкостей, мест, пропускных способностей сетей субъекта естественной монополии;</w:t>
            </w:r>
          </w:p>
          <w:p>
            <w:pPr>
              <w:spacing w:after="20"/>
              <w:ind w:left="20"/>
              <w:jc w:val="both"/>
            </w:pPr>
            <w:r>
              <w:rPr>
                <w:rFonts w:ascii="Times New Roman"/>
                <w:b w:val="false"/>
                <w:i w:val="false"/>
                <w:color w:val="000000"/>
                <w:sz w:val="20"/>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и регулируемых услуг;</w:t>
            </w:r>
          </w:p>
          <w:p>
            <w:pPr>
              <w:spacing w:after="20"/>
              <w:ind w:left="20"/>
              <w:jc w:val="both"/>
            </w:pPr>
            <w:r>
              <w:rPr>
                <w:rFonts w:ascii="Times New Roman"/>
                <w:b w:val="false"/>
                <w:i w:val="false"/>
                <w:color w:val="000000"/>
                <w:sz w:val="20"/>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89"/>
      <w:r>
        <w:rPr>
          <w:rFonts w:ascii="Times New Roman"/>
          <w:b w:val="false"/>
          <w:i w:val="false"/>
          <w:color w:val="000000"/>
          <w:sz w:val="28"/>
        </w:rPr>
        <w:t>
      Должностное (ые) лицо (а) ________________________________________</w:t>
      </w:r>
    </w:p>
    <w:bookmarkEnd w:id="89"/>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2022 года № 122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348" w:id="90"/>
    <w:p>
      <w:pPr>
        <w:spacing w:after="0"/>
        <w:ind w:left="0"/>
        <w:jc w:val="left"/>
      </w:pPr>
      <w:r>
        <w:rPr>
          <w:rFonts w:ascii="Times New Roman"/>
          <w:b/>
          <w:i w:val="false"/>
          <w:color w:val="000000"/>
        </w:rPr>
        <w:t xml:space="preserve"> Проверочный лист за соблюдением порядка ценообразования и обязанностей субъекта общественно значимого рынка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90"/>
    <w:p>
      <w:pPr>
        <w:spacing w:after="0"/>
        <w:ind w:left="0"/>
        <w:jc w:val="both"/>
      </w:pPr>
      <w:bookmarkStart w:name="z349" w:id="91"/>
      <w:r>
        <w:rPr>
          <w:rFonts w:ascii="Times New Roman"/>
          <w:b w:val="false"/>
          <w:i w:val="false"/>
          <w:color w:val="000000"/>
          <w:sz w:val="28"/>
        </w:rPr>
        <w:t>
      В отношении субъектов общественно значимого рынка</w:t>
      </w:r>
    </w:p>
    <w:bookmarkEnd w:id="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предельной цены на товары (работы, услуги), согласованной уполномоченным органом, осуществляющим руководство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w:t>
            </w:r>
          </w:p>
          <w:p>
            <w:pPr>
              <w:spacing w:after="20"/>
              <w:ind w:left="20"/>
              <w:jc w:val="both"/>
            </w:pPr>
            <w:r>
              <w:rPr>
                <w:rFonts w:ascii="Times New Roman"/>
                <w:b w:val="false"/>
                <w:i w:val="false"/>
                <w:color w:val="000000"/>
                <w:sz w:val="20"/>
              </w:rPr>
              <w:t>
1) ежемесячную информацию об объемах производства (реализации), уровне доходности и отпускных ценах производимых (реализуемых) товаров (работ, услуг) по форме, утвержденной уполномоченным органом, осуществляющим руководство в сферах естественных монополий, не позднее последнего дня месяца, следующего за отчетным;</w:t>
            </w:r>
          </w:p>
          <w:p>
            <w:pPr>
              <w:spacing w:after="20"/>
              <w:ind w:left="20"/>
              <w:jc w:val="both"/>
            </w:pPr>
            <w:r>
              <w:rPr>
                <w:rFonts w:ascii="Times New Roman"/>
                <w:b w:val="false"/>
                <w:i w:val="false"/>
                <w:color w:val="000000"/>
                <w:sz w:val="20"/>
              </w:rPr>
              <w:t>
2) ежеквартальную финансовую отчетность не позднее последнего дня месяца, следующего за отчетным кварталом;</w:t>
            </w:r>
          </w:p>
          <w:p>
            <w:pPr>
              <w:spacing w:after="20"/>
              <w:ind w:left="20"/>
              <w:jc w:val="both"/>
            </w:pPr>
            <w:r>
              <w:rPr>
                <w:rFonts w:ascii="Times New Roman"/>
                <w:b w:val="false"/>
                <w:i w:val="false"/>
                <w:color w:val="000000"/>
                <w:sz w:val="20"/>
              </w:rPr>
              <w:t>
3) не позднее 1 августа текущего календарного года и 1 мая следующего календарного года информацию по итогам полугодия, года об исполнении либо о неисполнении инвестиционной программы, учтенной в предельной цене, по форме, утвержденной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4) информацию, необходимую для проведения экспертизы цены, в электронной форме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p>
            <w:pPr>
              <w:spacing w:after="20"/>
              <w:ind w:left="20"/>
              <w:jc w:val="both"/>
            </w:pPr>
            <w:r>
              <w:rPr>
                <w:rFonts w:ascii="Times New Roman"/>
                <w:b w:val="false"/>
                <w:i w:val="false"/>
                <w:color w:val="000000"/>
                <w:sz w:val="20"/>
              </w:rPr>
              <w:t>
5)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государственного регулирования цен или с момента начала производства (реализации) товаров, работ, услуг либо не менее чем за тридцать календарных дней до предстоящего повышения отпускной цены на товары, работы, услуги;</w:t>
            </w:r>
          </w:p>
          <w:p>
            <w:pPr>
              <w:spacing w:after="20"/>
              <w:ind w:left="20"/>
              <w:jc w:val="both"/>
            </w:pPr>
            <w:r>
              <w:rPr>
                <w:rFonts w:ascii="Times New Roman"/>
                <w:b w:val="false"/>
                <w:i w:val="false"/>
                <w:color w:val="000000"/>
                <w:sz w:val="20"/>
              </w:rPr>
              <w:t xml:space="preserve">
6) полугодовую информацию об использовании средств по покупке и (или) передаче электрической энергии, товарного газа, учтенных в предельной цене, с приложением подтверждающих материалов не позднее двадцать пятого числа месяца, следующего за отчетным полугодием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осуществляющий руководство в сферах естественных монополий, в электронной форме не менее чем за тридцать календарных дней информации о предстоящем повышении цен на товары (работы, услуги) выше предельной цены и причинах их повышения с представлением обосновывающих материалов, подтверждающих причины повышения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рынках, не превышая предельной цены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средствах массовой информации в порядке, определяемом уполномоченным органом, осуществляющим руководство в сферах естественных монополий:</w:t>
            </w:r>
          </w:p>
          <w:p>
            <w:pPr>
              <w:spacing w:after="20"/>
              <w:ind w:left="20"/>
              <w:jc w:val="both"/>
            </w:pPr>
            <w:r>
              <w:rPr>
                <w:rFonts w:ascii="Times New Roman"/>
                <w:b w:val="false"/>
                <w:i w:val="false"/>
                <w:color w:val="000000"/>
                <w:sz w:val="20"/>
              </w:rPr>
              <w:t>
1) полугодовую информацию об использовании средств по покупке и (или) передаче электрической энергии, товарного газа,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2) полугодовую информацию о доходе, полученном в результате превышения объемов потребления товаров (работ, услуг), в том числе отдельными группами потребителей, учтенных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3) полугодовую информацию об исполнении либо о неисполнении инвестиционной программы, учтенной в предельной цене, не позднее двадцать пятого числа месяца, следующего за отчетным полугодием;</w:t>
            </w:r>
          </w:p>
          <w:p>
            <w:pPr>
              <w:spacing w:after="20"/>
              <w:ind w:left="20"/>
              <w:jc w:val="both"/>
            </w:pPr>
            <w:r>
              <w:rPr>
                <w:rFonts w:ascii="Times New Roman"/>
                <w:b w:val="false"/>
                <w:i w:val="false"/>
                <w:color w:val="000000"/>
                <w:sz w:val="20"/>
              </w:rPr>
              <w:t>
4) информацию о повышении предельных цен на товары (работы, услуги) и обосновывающие материалы не позднее пяти рабочих дней со дня их направления на согласование уполномоченному органу, осуществляющему руководство в сферах естественных монополий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своем интернет-ресурсе либо интернет-ресурсе уполномоченного органа, осуществляющего руководство в сферах естественных монополий, информации об отпускных ценах, о результатах публичных слушаний 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на покупку и (или) передачу электрической энергии, товарного газа, учтенных в предельных ценах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92"/>
      <w:r>
        <w:rPr>
          <w:rFonts w:ascii="Times New Roman"/>
          <w:b w:val="false"/>
          <w:i w:val="false"/>
          <w:color w:val="000000"/>
          <w:sz w:val="28"/>
        </w:rPr>
        <w:t>
      Должностное (ые) лицо (а) ________________________________________</w:t>
      </w:r>
    </w:p>
    <w:bookmarkEnd w:id="92"/>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