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80f0" w14:textId="9fa8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Министра энергетики Республики Казахстан от 24 декабря 2015 года № 749 и Министра национальной экономики Республики Казахстан от 29 декабря 2015 года № 827 "Об утверждении проверочных листов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29 ноября 2022 года № 384 и и.о. Министра национальной экономики Республики Казахстан от 30 ноября 2022 года № 100. Зарегистрирован в Министерстве юстиции Республики Казахстан 30 ноября 2022 года № 30850</w:t>
      </w:r>
    </w:p>
    <w:p>
      <w:pPr>
        <w:spacing w:after="0"/>
        <w:ind w:left="0"/>
        <w:jc w:val="left"/>
      </w:pP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p>
      <w:pPr>
        <w:spacing w:after="0"/>
        <w:ind w:left="0"/>
        <w:jc w:val="both"/>
      </w:pPr>
      <w:r>
        <w:rPr>
          <w:rFonts w:ascii="Times New Roman"/>
          <w:b w:val="false"/>
          <w:i w:val="false"/>
          <w:color w:val="000000"/>
          <w:sz w:val="28"/>
        </w:rPr>
        <w:t>
      ПРИКАЗЫВАЕМ:</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24 декабря 2015 года № 749 и Министра национальной экономики Республики Казахстан от 29 декабря 2015 года № 827 "Об утверждении проверочных листов за соблюдением законодательства Республики Казахстан о магистральном трубопроводе" (зарегистрирован в Реестре государственной регистрации нормативных правовых актов за № 13023)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за соблюдением законодательства Республики Казахстан о магистральном трубопроводе";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о магистральном трубопроводе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о магистральном трубопроводе в отношении владельцев магистральным нефтепродуктопроводом на праве собственности или юридического лица, владеющего магистральным нефтепродуктопроводом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магистральном трубопроводе в отношении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 магистральном трубопроводе в отношении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5) проверочный лист за соблюдением законодательства Республики Казахстан о магистральном трубопроводе в отношении собственников терминалов согласно приложению 5 к настоящему совместному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Start w:name="z18" w:id="10"/>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10"/>
    <w:bookmarkStart w:name="z19" w:id="11"/>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1"/>
    <w:bookmarkStart w:name="z20" w:id="1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2"/>
    <w:bookmarkStart w:name="z21" w:id="13"/>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13"/>
    <w:bookmarkStart w:name="z22"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4"/>
    <w:bookmarkStart w:name="z23" w:id="1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15"/>
    <w:bookmarkStart w:name="z24" w:id="16"/>
    <w:p>
      <w:pPr>
        <w:spacing w:after="0"/>
        <w:ind w:left="0"/>
        <w:jc w:val="both"/>
      </w:pPr>
      <w:r>
        <w:rPr>
          <w:rFonts w:ascii="Times New Roman"/>
          <w:b w:val="false"/>
          <w:i w:val="false"/>
          <w:color w:val="000000"/>
          <w:sz w:val="28"/>
        </w:rPr>
        <w:t xml:space="preserve">
      4. Настоящий совместный приказ вводится в действие с 1 января 2023 года и подлежит официальному опубликованию.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по правовой статистике и</w:t>
      </w:r>
    </w:p>
    <w:p>
      <w:pPr>
        <w:spacing w:after="0"/>
        <w:ind w:left="0"/>
        <w:jc w:val="both"/>
      </w:pPr>
      <w:r>
        <w:rPr>
          <w:rFonts w:ascii="Times New Roman"/>
          <w:b w:val="false"/>
          <w:i w:val="false"/>
          <w:color w:val="000000"/>
          <w:sz w:val="28"/>
        </w:rPr>
        <w:t xml:space="preserve">специальным учетам </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ноября 2022 года № 100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w:t>
            </w:r>
            <w:r>
              <w:br/>
            </w:r>
            <w:r>
              <w:rPr>
                <w:rFonts w:ascii="Times New Roman"/>
                <w:b w:val="false"/>
                <w:i w:val="false"/>
                <w:color w:val="000000"/>
                <w:sz w:val="20"/>
              </w:rPr>
              <w:t>от 29 ноября 2022 года № 384</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bookmarkStart w:name="z30" w:id="17"/>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магистральном трубопроводе</w:t>
      </w:r>
    </w:p>
    <w:bookmarkEnd w:id="17"/>
    <w:bookmarkStart w:name="z31" w:id="18"/>
    <w:p>
      <w:pPr>
        <w:spacing w:after="0"/>
        <w:ind w:left="0"/>
        <w:jc w:val="left"/>
      </w:pPr>
      <w:r>
        <w:rPr>
          <w:rFonts w:ascii="Times New Roman"/>
          <w:b/>
          <w:i w:val="false"/>
          <w:color w:val="000000"/>
        </w:rPr>
        <w:t xml:space="preserve"> Глава 1. Общие положения</w:t>
      </w:r>
    </w:p>
    <w:bookmarkEnd w:id="18"/>
    <w:bookmarkStart w:name="z32" w:id="19"/>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магистральном трубопроводе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 (далее – Закон) и Правилами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с целью отнесения субъектов (объектов) контроля в сфере за соблюдением законодательства Республики Казахстан о магистральном трубопроводе по степеням риска.</w:t>
      </w:r>
    </w:p>
    <w:bookmarkEnd w:id="19"/>
    <w:bookmarkStart w:name="z33" w:id="20"/>
    <w:p>
      <w:pPr>
        <w:spacing w:after="0"/>
        <w:ind w:left="0"/>
        <w:jc w:val="both"/>
      </w:pPr>
      <w:r>
        <w:rPr>
          <w:rFonts w:ascii="Times New Roman"/>
          <w:b w:val="false"/>
          <w:i w:val="false"/>
          <w:color w:val="000000"/>
          <w:sz w:val="28"/>
        </w:rPr>
        <w:t>
      2. В Критериях используются следующие понятия:</w:t>
      </w:r>
    </w:p>
    <w:bookmarkEnd w:id="20"/>
    <w:bookmarkStart w:name="z34" w:id="21"/>
    <w:p>
      <w:pPr>
        <w:spacing w:after="0"/>
        <w:ind w:left="0"/>
        <w:jc w:val="both"/>
      </w:pPr>
      <w:r>
        <w:rPr>
          <w:rFonts w:ascii="Times New Roman"/>
          <w:b w:val="false"/>
          <w:i w:val="false"/>
          <w:color w:val="000000"/>
          <w:sz w:val="28"/>
        </w:rPr>
        <w:t>
      1) субъект контроля – владельцы магистральных нефтепроводов, газопроводов, нефтепродуктопроводов на праве собственности, юридические лица, владеющие магистральным нефтепроводом, газопроводом или нефтепродуктопроводом на ином законном основании, либо уполномоченные ими организации, оказывающие операторские услуги, национальный оператор, а также собственники терминалов;</w:t>
      </w:r>
    </w:p>
    <w:bookmarkEnd w:id="21"/>
    <w:bookmarkStart w:name="z35" w:id="22"/>
    <w:p>
      <w:pPr>
        <w:spacing w:after="0"/>
        <w:ind w:left="0"/>
        <w:jc w:val="both"/>
      </w:pPr>
      <w:r>
        <w:rPr>
          <w:rFonts w:ascii="Times New Roman"/>
          <w:b w:val="false"/>
          <w:i w:val="false"/>
          <w:color w:val="000000"/>
          <w:sz w:val="28"/>
        </w:rPr>
        <w:t>
      2) незначительные нарушения – нарушения, связанные с отсутствием планов по ремонту, очистке, техническому обслуживанию оборудования и трубопровода, по предотвращению разрушения нефтепровода, отсутствием рабочих программ по расконсервации или вводу в действие объектов, отсутствием системы мониторинга и автоматизации на объектах;</w:t>
      </w:r>
    </w:p>
    <w:bookmarkEnd w:id="22"/>
    <w:bookmarkStart w:name="z36" w:id="23"/>
    <w:p>
      <w:pPr>
        <w:spacing w:after="0"/>
        <w:ind w:left="0"/>
        <w:jc w:val="both"/>
      </w:pPr>
      <w:r>
        <w:rPr>
          <w:rFonts w:ascii="Times New Roman"/>
          <w:b w:val="false"/>
          <w:i w:val="false"/>
          <w:color w:val="000000"/>
          <w:sz w:val="28"/>
        </w:rPr>
        <w:t>
      3) значительные нарушения – нарушения, связанные с непредставлением в уполномоченный орган в области магистрального трубопровода отчетов, необходимых для ведомственного статистического наблюдения или административного учета;</w:t>
      </w:r>
    </w:p>
    <w:bookmarkEnd w:id="23"/>
    <w:bookmarkStart w:name="z37" w:id="24"/>
    <w:p>
      <w:pPr>
        <w:spacing w:after="0"/>
        <w:ind w:left="0"/>
        <w:jc w:val="both"/>
      </w:pPr>
      <w:r>
        <w:rPr>
          <w:rFonts w:ascii="Times New Roman"/>
          <w:b w:val="false"/>
          <w:i w:val="false"/>
          <w:color w:val="000000"/>
          <w:sz w:val="28"/>
        </w:rPr>
        <w:t>
      4)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 К магистральным трубопроводам относятся магистральные нефтепроводы, газопроводы и нефтепродуктопроводы;</w:t>
      </w:r>
    </w:p>
    <w:bookmarkEnd w:id="24"/>
    <w:bookmarkStart w:name="z38" w:id="25"/>
    <w:p>
      <w:pPr>
        <w:spacing w:after="0"/>
        <w:ind w:left="0"/>
        <w:jc w:val="both"/>
      </w:pPr>
      <w:r>
        <w:rPr>
          <w:rFonts w:ascii="Times New Roman"/>
          <w:b w:val="false"/>
          <w:i w:val="false"/>
          <w:color w:val="000000"/>
          <w:sz w:val="28"/>
        </w:rPr>
        <w:t>
      5)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p>
    <w:bookmarkEnd w:id="25"/>
    <w:bookmarkStart w:name="z39" w:id="26"/>
    <w:p>
      <w:pPr>
        <w:spacing w:after="0"/>
        <w:ind w:left="0"/>
        <w:jc w:val="both"/>
      </w:pPr>
      <w:r>
        <w:rPr>
          <w:rFonts w:ascii="Times New Roman"/>
          <w:b w:val="false"/>
          <w:i w:val="false"/>
          <w:color w:val="000000"/>
          <w:sz w:val="28"/>
        </w:rPr>
        <w:t>
      6) операторские услуги – услуги по транспортировке продукции, предоставляемые оператором отправителям от имени собственника магистрального трубопровода либо лица, владеющего магистральным трубопроводом на ином законном основании, и (или) по эксплуатации магистрального трубопровода, предоставляемые оператором собственнику магистрального трубопровода либо лицу, владеющему магистральным трубопроводом на ином законном основании;</w:t>
      </w:r>
    </w:p>
    <w:bookmarkEnd w:id="26"/>
    <w:bookmarkStart w:name="z40" w:id="27"/>
    <w:p>
      <w:pPr>
        <w:spacing w:after="0"/>
        <w:ind w:left="0"/>
        <w:jc w:val="both"/>
      </w:pPr>
      <w:r>
        <w:rPr>
          <w:rFonts w:ascii="Times New Roman"/>
          <w:b w:val="false"/>
          <w:i w:val="false"/>
          <w:color w:val="000000"/>
          <w:sz w:val="28"/>
        </w:rPr>
        <w:t>
      7)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27"/>
    <w:bookmarkStart w:name="z41" w:id="28"/>
    <w:p>
      <w:pPr>
        <w:spacing w:after="0"/>
        <w:ind w:left="0"/>
        <w:jc w:val="both"/>
      </w:pPr>
      <w:r>
        <w:rPr>
          <w:rFonts w:ascii="Times New Roman"/>
          <w:b w:val="false"/>
          <w:i w:val="false"/>
          <w:color w:val="000000"/>
          <w:sz w:val="28"/>
        </w:rPr>
        <w:t>
      8) грубые нарушения – нарушения, связанные с отсутствием разрешительных документов, контрольных приборов учета, нарушением порядка очередности и равного доступа, несоблюдением графика транспортировки нефти, отсутствием договора на оказание операторских услуг в случае привлечения иной организации для эксплуатации магистрального трубопровода, а также наличием двух и более подтвержденных жалоб и обращений;</w:t>
      </w:r>
    </w:p>
    <w:bookmarkEnd w:id="28"/>
    <w:bookmarkStart w:name="z42" w:id="29"/>
    <w:p>
      <w:pPr>
        <w:spacing w:after="0"/>
        <w:ind w:left="0"/>
        <w:jc w:val="both"/>
      </w:pPr>
      <w:r>
        <w:rPr>
          <w:rFonts w:ascii="Times New Roman"/>
          <w:b w:val="false"/>
          <w:i w:val="false"/>
          <w:color w:val="000000"/>
          <w:sz w:val="28"/>
        </w:rPr>
        <w:t>
      9)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9"/>
    <w:bookmarkStart w:name="z43" w:id="30"/>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30"/>
    <w:bookmarkStart w:name="z44" w:id="31"/>
    <w:p>
      <w:pPr>
        <w:spacing w:after="0"/>
        <w:ind w:left="0"/>
        <w:jc w:val="both"/>
      </w:pPr>
      <w:r>
        <w:rPr>
          <w:rFonts w:ascii="Times New Roman"/>
          <w:b w:val="false"/>
          <w:i w:val="false"/>
          <w:color w:val="000000"/>
          <w:sz w:val="28"/>
        </w:rPr>
        <w:t>
      11)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31"/>
    <w:bookmarkStart w:name="z45" w:id="32"/>
    <w:p>
      <w:pPr>
        <w:spacing w:after="0"/>
        <w:ind w:left="0"/>
        <w:jc w:val="both"/>
      </w:pPr>
      <w:r>
        <w:rPr>
          <w:rFonts w:ascii="Times New Roman"/>
          <w:b w:val="false"/>
          <w:i w:val="false"/>
          <w:color w:val="000000"/>
          <w:sz w:val="28"/>
        </w:rPr>
        <w:t>
      12)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2"/>
    <w:bookmarkStart w:name="z46" w:id="33"/>
    <w:p>
      <w:pPr>
        <w:spacing w:after="0"/>
        <w:ind w:left="0"/>
        <w:jc w:val="both"/>
      </w:pPr>
      <w:r>
        <w:rPr>
          <w:rFonts w:ascii="Times New Roman"/>
          <w:b w:val="false"/>
          <w:i w:val="false"/>
          <w:color w:val="000000"/>
          <w:sz w:val="28"/>
        </w:rPr>
        <w:t>
      13) собственник терминала – физическое или юридическое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 а также платформу для приема и (или) отгрузки нефти на транспорт (железнодорожные цистерны, автоцистерны, танкеры и прочее) или нефтепровод;</w:t>
      </w:r>
    </w:p>
    <w:bookmarkEnd w:id="33"/>
    <w:bookmarkStart w:name="z47" w:id="34"/>
    <w:p>
      <w:pPr>
        <w:spacing w:after="0"/>
        <w:ind w:left="0"/>
        <w:jc w:val="both"/>
      </w:pPr>
      <w:r>
        <w:rPr>
          <w:rFonts w:ascii="Times New Roman"/>
          <w:b w:val="false"/>
          <w:i w:val="false"/>
          <w:color w:val="000000"/>
          <w:sz w:val="28"/>
        </w:rPr>
        <w:t>
      14)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владеющее на праве собственности или ином законном основании одним или несколькими магистральными трубопроводами, определяемое Правительством Республики Казахстан.</w:t>
      </w:r>
    </w:p>
    <w:bookmarkEnd w:id="34"/>
    <w:bookmarkStart w:name="z48" w:id="35"/>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субъекты (объекты) контроля относятся к одной из следующих степеней риска (далее – степени риска):</w:t>
      </w:r>
    </w:p>
    <w:bookmarkEnd w:id="35"/>
    <w:bookmarkStart w:name="z49" w:id="36"/>
    <w:p>
      <w:pPr>
        <w:spacing w:after="0"/>
        <w:ind w:left="0"/>
        <w:jc w:val="both"/>
      </w:pPr>
      <w:r>
        <w:rPr>
          <w:rFonts w:ascii="Times New Roman"/>
          <w:b w:val="false"/>
          <w:i w:val="false"/>
          <w:color w:val="000000"/>
          <w:sz w:val="28"/>
        </w:rPr>
        <w:t>
      1) высокий риск;</w:t>
      </w:r>
    </w:p>
    <w:bookmarkEnd w:id="36"/>
    <w:bookmarkStart w:name="z50" w:id="37"/>
    <w:p>
      <w:pPr>
        <w:spacing w:after="0"/>
        <w:ind w:left="0"/>
        <w:jc w:val="both"/>
      </w:pPr>
      <w:r>
        <w:rPr>
          <w:rFonts w:ascii="Times New Roman"/>
          <w:b w:val="false"/>
          <w:i w:val="false"/>
          <w:color w:val="000000"/>
          <w:sz w:val="28"/>
        </w:rPr>
        <w:t>
      2) низкий риск.</w:t>
      </w:r>
    </w:p>
    <w:bookmarkEnd w:id="37"/>
    <w:bookmarkStart w:name="z51" w:id="38"/>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степени риска, проводятся профилактический контроль с посещением субъекта (объекта) контроля и внеплановая проверка.</w:t>
      </w:r>
    </w:p>
    <w:bookmarkEnd w:id="38"/>
    <w:bookmarkStart w:name="z52" w:id="39"/>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проводится внеплановая проверка.</w:t>
      </w:r>
    </w:p>
    <w:bookmarkEnd w:id="39"/>
    <w:bookmarkStart w:name="z53" w:id="40"/>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40"/>
    <w:bookmarkStart w:name="z54" w:id="41"/>
    <w:p>
      <w:pPr>
        <w:spacing w:after="0"/>
        <w:ind w:left="0"/>
        <w:jc w:val="left"/>
      </w:pPr>
      <w:r>
        <w:rPr>
          <w:rFonts w:ascii="Times New Roman"/>
          <w:b/>
          <w:i w:val="false"/>
          <w:color w:val="000000"/>
        </w:rPr>
        <w:t xml:space="preserve"> Глава 2. Объективные критерии</w:t>
      </w:r>
    </w:p>
    <w:bookmarkEnd w:id="41"/>
    <w:bookmarkStart w:name="z55" w:id="42"/>
    <w:p>
      <w:pPr>
        <w:spacing w:after="0"/>
        <w:ind w:left="0"/>
        <w:jc w:val="both"/>
      </w:pPr>
      <w:r>
        <w:rPr>
          <w:rFonts w:ascii="Times New Roman"/>
          <w:b w:val="false"/>
          <w:i w:val="false"/>
          <w:color w:val="000000"/>
          <w:sz w:val="28"/>
        </w:rPr>
        <w:t>
      5. Определение объективных критериев осуществляется посредством определения риска.</w:t>
      </w:r>
    </w:p>
    <w:bookmarkEnd w:id="42"/>
    <w:bookmarkStart w:name="z56" w:id="43"/>
    <w:p>
      <w:pPr>
        <w:spacing w:after="0"/>
        <w:ind w:left="0"/>
        <w:jc w:val="both"/>
      </w:pPr>
      <w:r>
        <w:rPr>
          <w:rFonts w:ascii="Times New Roman"/>
          <w:b w:val="false"/>
          <w:i w:val="false"/>
          <w:color w:val="000000"/>
          <w:sz w:val="28"/>
        </w:rPr>
        <w:t>
      6. Определение риска осуществляется с учетом одного из следующих критериев:</w:t>
      </w:r>
    </w:p>
    <w:bookmarkEnd w:id="43"/>
    <w:bookmarkStart w:name="z57" w:id="44"/>
    <w:p>
      <w:pPr>
        <w:spacing w:after="0"/>
        <w:ind w:left="0"/>
        <w:jc w:val="both"/>
      </w:pPr>
      <w:r>
        <w:rPr>
          <w:rFonts w:ascii="Times New Roman"/>
          <w:b w:val="false"/>
          <w:i w:val="false"/>
          <w:color w:val="000000"/>
          <w:sz w:val="28"/>
        </w:rPr>
        <w:t>
      1) уровня опасности (сложности) объекта;</w:t>
      </w:r>
    </w:p>
    <w:bookmarkEnd w:id="44"/>
    <w:bookmarkStart w:name="z58" w:id="45"/>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5"/>
    <w:bookmarkStart w:name="z59" w:id="46"/>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46"/>
    <w:bookmarkStart w:name="z60" w:id="47"/>
    <w:p>
      <w:pPr>
        <w:spacing w:after="0"/>
        <w:ind w:left="0"/>
        <w:jc w:val="both"/>
      </w:pPr>
      <w:r>
        <w:rPr>
          <w:rFonts w:ascii="Times New Roman"/>
          <w:b w:val="false"/>
          <w:i w:val="false"/>
          <w:color w:val="000000"/>
          <w:sz w:val="28"/>
        </w:rPr>
        <w:t xml:space="preserve">
      7. Владельцы магистральных нефтепроводов или газопроводов на праве собственности, юридические лица, владеющие магистральным нефтепроводом или газопроводом на ином законном основании, либо уполномоченные ими организации, оказывающие операторские услуги, национальный оператор относятся к субъектам высокой степени риска. </w:t>
      </w:r>
    </w:p>
    <w:bookmarkEnd w:id="47"/>
    <w:bookmarkStart w:name="z61" w:id="48"/>
    <w:p>
      <w:pPr>
        <w:spacing w:after="0"/>
        <w:ind w:left="0"/>
        <w:jc w:val="both"/>
      </w:pPr>
      <w:r>
        <w:rPr>
          <w:rFonts w:ascii="Times New Roman"/>
          <w:b w:val="false"/>
          <w:i w:val="false"/>
          <w:color w:val="000000"/>
          <w:sz w:val="28"/>
        </w:rPr>
        <w:t xml:space="preserve">
      8. Владельцы магистральных нефтепродуктопроводов на праве собственности, юридические лица, владеющие магистральным нефтепродуктопроводом на ином законном основании, либо уполномоченные ими организации, оказывающие операторские услуги, национальный оператор относятся к субъектам низкой степени риска. </w:t>
      </w:r>
    </w:p>
    <w:bookmarkEnd w:id="48"/>
    <w:bookmarkStart w:name="z62" w:id="49"/>
    <w:p>
      <w:pPr>
        <w:spacing w:after="0"/>
        <w:ind w:left="0"/>
        <w:jc w:val="both"/>
      </w:pPr>
      <w:r>
        <w:rPr>
          <w:rFonts w:ascii="Times New Roman"/>
          <w:b w:val="false"/>
          <w:i w:val="false"/>
          <w:color w:val="000000"/>
          <w:sz w:val="28"/>
        </w:rPr>
        <w:t>
      9. Собственники терминалов как субъекты контроля относятся к субъектам низкой степени риска.</w:t>
      </w:r>
    </w:p>
    <w:bookmarkEnd w:id="49"/>
    <w:bookmarkStart w:name="z63" w:id="50"/>
    <w:p>
      <w:pPr>
        <w:spacing w:after="0"/>
        <w:ind w:left="0"/>
        <w:jc w:val="both"/>
      </w:pPr>
      <w:r>
        <w:rPr>
          <w:rFonts w:ascii="Times New Roman"/>
          <w:b w:val="false"/>
          <w:i w:val="false"/>
          <w:color w:val="000000"/>
          <w:sz w:val="28"/>
        </w:rPr>
        <w:t>
      10. В отношении субъектов (объектов) контроля, отнесенных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50"/>
    <w:bookmarkStart w:name="z64" w:id="51"/>
    <w:p>
      <w:pPr>
        <w:spacing w:after="0"/>
        <w:ind w:left="0"/>
        <w:jc w:val="left"/>
      </w:pPr>
      <w:r>
        <w:rPr>
          <w:rFonts w:ascii="Times New Roman"/>
          <w:b/>
          <w:i w:val="false"/>
          <w:color w:val="000000"/>
        </w:rPr>
        <w:t xml:space="preserve"> Глава 3. Субъективные критерии</w:t>
      </w:r>
    </w:p>
    <w:bookmarkEnd w:id="51"/>
    <w:bookmarkStart w:name="z65" w:id="52"/>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52"/>
    <w:bookmarkStart w:name="z66" w:id="53"/>
    <w:p>
      <w:pPr>
        <w:spacing w:after="0"/>
        <w:ind w:left="0"/>
        <w:jc w:val="both"/>
      </w:pPr>
      <w:r>
        <w:rPr>
          <w:rFonts w:ascii="Times New Roman"/>
          <w:b w:val="false"/>
          <w:i w:val="false"/>
          <w:color w:val="000000"/>
          <w:sz w:val="28"/>
        </w:rPr>
        <w:t>
      1) формирование базы данных и сбор информации;</w:t>
      </w:r>
    </w:p>
    <w:bookmarkEnd w:id="53"/>
    <w:bookmarkStart w:name="z67" w:id="54"/>
    <w:p>
      <w:pPr>
        <w:spacing w:after="0"/>
        <w:ind w:left="0"/>
        <w:jc w:val="both"/>
      </w:pPr>
      <w:r>
        <w:rPr>
          <w:rFonts w:ascii="Times New Roman"/>
          <w:b w:val="false"/>
          <w:i w:val="false"/>
          <w:color w:val="000000"/>
          <w:sz w:val="28"/>
        </w:rPr>
        <w:t>
      2) анализ информации и оценка риска.</w:t>
      </w:r>
    </w:p>
    <w:bookmarkEnd w:id="54"/>
    <w:bookmarkStart w:name="z68" w:id="55"/>
    <w:p>
      <w:pPr>
        <w:spacing w:after="0"/>
        <w:ind w:left="0"/>
        <w:jc w:val="both"/>
      </w:pPr>
      <w:r>
        <w:rPr>
          <w:rFonts w:ascii="Times New Roman"/>
          <w:b w:val="false"/>
          <w:i w:val="false"/>
          <w:color w:val="000000"/>
          <w:sz w:val="28"/>
        </w:rPr>
        <w:t xml:space="preserve">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магистрального трубопровода. </w:t>
      </w:r>
    </w:p>
    <w:bookmarkEnd w:id="55"/>
    <w:bookmarkStart w:name="z69" w:id="56"/>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56"/>
    <w:bookmarkStart w:name="z70" w:id="57"/>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уполномоченный орган в области магистральных трубопроводов;</w:t>
      </w:r>
    </w:p>
    <w:bookmarkEnd w:id="57"/>
    <w:bookmarkStart w:name="z71" w:id="58"/>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8"/>
    <w:bookmarkStart w:name="z72" w:id="59"/>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59"/>
    <w:bookmarkStart w:name="z73" w:id="60"/>
    <w:p>
      <w:pPr>
        <w:spacing w:after="0"/>
        <w:ind w:left="0"/>
        <w:jc w:val="both"/>
      </w:pPr>
      <w:r>
        <w:rPr>
          <w:rFonts w:ascii="Times New Roman"/>
          <w:b w:val="false"/>
          <w:i w:val="false"/>
          <w:color w:val="000000"/>
          <w:sz w:val="28"/>
        </w:rPr>
        <w:t>
      13. На основании имеющихся источников информации субъективные критерии подразделяются на три степени нарушения: грубые, значительные и незначительные.</w:t>
      </w:r>
    </w:p>
    <w:bookmarkEnd w:id="60"/>
    <w:bookmarkStart w:name="z74" w:id="61"/>
    <w:p>
      <w:pPr>
        <w:spacing w:after="0"/>
        <w:ind w:left="0"/>
        <w:jc w:val="both"/>
      </w:pPr>
      <w:r>
        <w:rPr>
          <w:rFonts w:ascii="Times New Roman"/>
          <w:b w:val="false"/>
          <w:i w:val="false"/>
          <w:color w:val="000000"/>
          <w:sz w:val="28"/>
        </w:rPr>
        <w:t>
      Для отнесения субъекта контроля к степени риска применяется следующий порядок расчета показателя степени риска.</w:t>
      </w:r>
    </w:p>
    <w:bookmarkEnd w:id="61"/>
    <w:bookmarkStart w:name="z75" w:id="6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2"/>
    <w:bookmarkStart w:name="z76" w:id="63"/>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63"/>
    <w:bookmarkStart w:name="z77" w:id="6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4"/>
    <w:bookmarkStart w:name="z78" w:id="65"/>
    <w:p>
      <w:pPr>
        <w:spacing w:after="0"/>
        <w:ind w:left="0"/>
        <w:jc w:val="both"/>
      </w:pPr>
      <w:r>
        <w:rPr>
          <w:rFonts w:ascii="Times New Roman"/>
          <w:b w:val="false"/>
          <w:i w:val="false"/>
          <w:color w:val="000000"/>
          <w:sz w:val="28"/>
        </w:rPr>
        <w:t>
      SРз = (SР2 х 100/SР1) х 0,7,</w:t>
      </w:r>
    </w:p>
    <w:bookmarkEnd w:id="65"/>
    <w:bookmarkStart w:name="z79" w:id="66"/>
    <w:p>
      <w:pPr>
        <w:spacing w:after="0"/>
        <w:ind w:left="0"/>
        <w:jc w:val="both"/>
      </w:pPr>
      <w:r>
        <w:rPr>
          <w:rFonts w:ascii="Times New Roman"/>
          <w:b w:val="false"/>
          <w:i w:val="false"/>
          <w:color w:val="000000"/>
          <w:sz w:val="28"/>
        </w:rPr>
        <w:t>
      где:</w:t>
      </w:r>
    </w:p>
    <w:bookmarkEnd w:id="66"/>
    <w:bookmarkStart w:name="z80" w:id="67"/>
    <w:p>
      <w:pPr>
        <w:spacing w:after="0"/>
        <w:ind w:left="0"/>
        <w:jc w:val="both"/>
      </w:pPr>
      <w:r>
        <w:rPr>
          <w:rFonts w:ascii="Times New Roman"/>
          <w:b w:val="false"/>
          <w:i w:val="false"/>
          <w:color w:val="000000"/>
          <w:sz w:val="28"/>
        </w:rPr>
        <w:t>
      SРз – показатель значительных нарушений;</w:t>
      </w:r>
    </w:p>
    <w:bookmarkEnd w:id="67"/>
    <w:bookmarkStart w:name="z81" w:id="68"/>
    <w:p>
      <w:pPr>
        <w:spacing w:after="0"/>
        <w:ind w:left="0"/>
        <w:jc w:val="both"/>
      </w:pPr>
      <w:r>
        <w:rPr>
          <w:rFonts w:ascii="Times New Roman"/>
          <w:b w:val="false"/>
          <w:i w:val="false"/>
          <w:color w:val="000000"/>
          <w:sz w:val="28"/>
        </w:rPr>
        <w:t>
      SР1 – требуемое количество значительных нарушений;</w:t>
      </w:r>
    </w:p>
    <w:bookmarkEnd w:id="68"/>
    <w:bookmarkStart w:name="z82" w:id="69"/>
    <w:p>
      <w:pPr>
        <w:spacing w:after="0"/>
        <w:ind w:left="0"/>
        <w:jc w:val="both"/>
      </w:pPr>
      <w:r>
        <w:rPr>
          <w:rFonts w:ascii="Times New Roman"/>
          <w:b w:val="false"/>
          <w:i w:val="false"/>
          <w:color w:val="000000"/>
          <w:sz w:val="28"/>
        </w:rPr>
        <w:t>
      SР2 – количество выявленных значительных нарушений.</w:t>
      </w:r>
    </w:p>
    <w:bookmarkEnd w:id="69"/>
    <w:bookmarkStart w:name="z83" w:id="7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0,4 и данный показатель рассчитывается по следующей формуле:</w:t>
      </w:r>
    </w:p>
    <w:bookmarkEnd w:id="70"/>
    <w:bookmarkStart w:name="z84" w:id="71"/>
    <w:p>
      <w:pPr>
        <w:spacing w:after="0"/>
        <w:ind w:left="0"/>
        <w:jc w:val="both"/>
      </w:pPr>
      <w:r>
        <w:rPr>
          <w:rFonts w:ascii="Times New Roman"/>
          <w:b w:val="false"/>
          <w:i w:val="false"/>
          <w:color w:val="000000"/>
          <w:sz w:val="28"/>
        </w:rPr>
        <w:t>
      SРн = (SР2 х 100/SР1) х 0,4,</w:t>
      </w:r>
    </w:p>
    <w:bookmarkEnd w:id="71"/>
    <w:bookmarkStart w:name="z85" w:id="72"/>
    <w:p>
      <w:pPr>
        <w:spacing w:after="0"/>
        <w:ind w:left="0"/>
        <w:jc w:val="both"/>
      </w:pPr>
      <w:r>
        <w:rPr>
          <w:rFonts w:ascii="Times New Roman"/>
          <w:b w:val="false"/>
          <w:i w:val="false"/>
          <w:color w:val="000000"/>
          <w:sz w:val="28"/>
        </w:rPr>
        <w:t>
      где:</w:t>
      </w:r>
    </w:p>
    <w:bookmarkEnd w:id="72"/>
    <w:bookmarkStart w:name="z86" w:id="73"/>
    <w:p>
      <w:pPr>
        <w:spacing w:after="0"/>
        <w:ind w:left="0"/>
        <w:jc w:val="both"/>
      </w:pPr>
      <w:r>
        <w:rPr>
          <w:rFonts w:ascii="Times New Roman"/>
          <w:b w:val="false"/>
          <w:i w:val="false"/>
          <w:color w:val="000000"/>
          <w:sz w:val="28"/>
        </w:rPr>
        <w:t>
      SРн – показатель незначительных нарушений;</w:t>
      </w:r>
    </w:p>
    <w:bookmarkEnd w:id="73"/>
    <w:bookmarkStart w:name="z87" w:id="74"/>
    <w:p>
      <w:pPr>
        <w:spacing w:after="0"/>
        <w:ind w:left="0"/>
        <w:jc w:val="both"/>
      </w:pPr>
      <w:r>
        <w:rPr>
          <w:rFonts w:ascii="Times New Roman"/>
          <w:b w:val="false"/>
          <w:i w:val="false"/>
          <w:color w:val="000000"/>
          <w:sz w:val="28"/>
        </w:rPr>
        <w:t>
      SР1 – требуемое количество незначительных нарушений;</w:t>
      </w:r>
    </w:p>
    <w:bookmarkEnd w:id="74"/>
    <w:bookmarkStart w:name="z88" w:id="75"/>
    <w:p>
      <w:pPr>
        <w:spacing w:after="0"/>
        <w:ind w:left="0"/>
        <w:jc w:val="both"/>
      </w:pPr>
      <w:r>
        <w:rPr>
          <w:rFonts w:ascii="Times New Roman"/>
          <w:b w:val="false"/>
          <w:i w:val="false"/>
          <w:color w:val="000000"/>
          <w:sz w:val="28"/>
        </w:rPr>
        <w:t>
      SР2 – количество выявленных незначительных нарушений.</w:t>
      </w:r>
    </w:p>
    <w:bookmarkEnd w:id="75"/>
    <w:bookmarkStart w:name="z89" w:id="7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6"/>
    <w:bookmarkStart w:name="z90" w:id="77"/>
    <w:p>
      <w:pPr>
        <w:spacing w:after="0"/>
        <w:ind w:left="0"/>
        <w:jc w:val="both"/>
      </w:pPr>
      <w:r>
        <w:rPr>
          <w:rFonts w:ascii="Times New Roman"/>
          <w:b w:val="false"/>
          <w:i w:val="false"/>
          <w:color w:val="000000"/>
          <w:sz w:val="28"/>
        </w:rPr>
        <w:t>
      SР = SРз + SРн,</w:t>
      </w:r>
    </w:p>
    <w:bookmarkEnd w:id="77"/>
    <w:bookmarkStart w:name="z91" w:id="78"/>
    <w:p>
      <w:pPr>
        <w:spacing w:after="0"/>
        <w:ind w:left="0"/>
        <w:jc w:val="both"/>
      </w:pPr>
      <w:r>
        <w:rPr>
          <w:rFonts w:ascii="Times New Roman"/>
          <w:b w:val="false"/>
          <w:i w:val="false"/>
          <w:color w:val="000000"/>
          <w:sz w:val="28"/>
        </w:rPr>
        <w:t>
      где:</w:t>
      </w:r>
    </w:p>
    <w:bookmarkEnd w:id="78"/>
    <w:bookmarkStart w:name="z92" w:id="79"/>
    <w:p>
      <w:pPr>
        <w:spacing w:after="0"/>
        <w:ind w:left="0"/>
        <w:jc w:val="both"/>
      </w:pPr>
      <w:r>
        <w:rPr>
          <w:rFonts w:ascii="Times New Roman"/>
          <w:b w:val="false"/>
          <w:i w:val="false"/>
          <w:color w:val="000000"/>
          <w:sz w:val="28"/>
        </w:rPr>
        <w:t>
      SР – общий показатель степени риска;</w:t>
      </w:r>
    </w:p>
    <w:bookmarkEnd w:id="79"/>
    <w:bookmarkStart w:name="z93" w:id="80"/>
    <w:p>
      <w:pPr>
        <w:spacing w:after="0"/>
        <w:ind w:left="0"/>
        <w:jc w:val="both"/>
      </w:pPr>
      <w:r>
        <w:rPr>
          <w:rFonts w:ascii="Times New Roman"/>
          <w:b w:val="false"/>
          <w:i w:val="false"/>
          <w:color w:val="000000"/>
          <w:sz w:val="28"/>
        </w:rPr>
        <w:t>
      SРз – показатель значительных нарушений;</w:t>
      </w:r>
    </w:p>
    <w:bookmarkEnd w:id="80"/>
    <w:bookmarkStart w:name="z94" w:id="81"/>
    <w:p>
      <w:pPr>
        <w:spacing w:after="0"/>
        <w:ind w:left="0"/>
        <w:jc w:val="both"/>
      </w:pPr>
      <w:r>
        <w:rPr>
          <w:rFonts w:ascii="Times New Roman"/>
          <w:b w:val="false"/>
          <w:i w:val="false"/>
          <w:color w:val="000000"/>
          <w:sz w:val="28"/>
        </w:rPr>
        <w:t>
      SРн – показатель незначительных нарушений.</w:t>
      </w:r>
    </w:p>
    <w:bookmarkEnd w:id="81"/>
    <w:bookmarkStart w:name="z95" w:id="82"/>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82"/>
    <w:bookmarkStart w:name="z96" w:id="8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83"/>
    <w:bookmarkStart w:name="z97" w:id="84"/>
    <w:p>
      <w:pPr>
        <w:spacing w:after="0"/>
        <w:ind w:left="0"/>
        <w:jc w:val="both"/>
      </w:pPr>
      <w:r>
        <w:rPr>
          <w:rFonts w:ascii="Times New Roman"/>
          <w:b w:val="false"/>
          <w:i w:val="false"/>
          <w:color w:val="000000"/>
          <w:sz w:val="28"/>
        </w:rPr>
        <w:t>
      2) к низкой степени риска – при показателе степени риска от 0 до 70 включительно и в отношении него не проводится профилактический контроль с посещением субъекта (объекта) контроля.</w:t>
      </w:r>
    </w:p>
    <w:bookmarkEnd w:id="84"/>
    <w:bookmarkStart w:name="z98" w:id="85"/>
    <w:p>
      <w:pPr>
        <w:spacing w:after="0"/>
        <w:ind w:left="0"/>
        <w:jc w:val="both"/>
      </w:pPr>
      <w:r>
        <w:rPr>
          <w:rFonts w:ascii="Times New Roman"/>
          <w:b w:val="false"/>
          <w:i w:val="false"/>
          <w:color w:val="000000"/>
          <w:sz w:val="28"/>
        </w:rPr>
        <w:t>
      Субъективные критерии оценки степени риска в отношении магистральных нефтепроводов и магистральных газопроводов приведены в приложениях 1 и 2 к настоящим Критериям.</w:t>
      </w:r>
    </w:p>
    <w:bookmarkEnd w:id="85"/>
    <w:bookmarkStart w:name="z99" w:id="86"/>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86"/>
    <w:bookmarkStart w:name="z100" w:id="87"/>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87"/>
    <w:bookmarkStart w:name="z101" w:id="88"/>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88"/>
    <w:bookmarkStart w:name="z102" w:id="89"/>
    <w:p>
      <w:pPr>
        <w:spacing w:after="0"/>
        <w:ind w:left="0"/>
        <w:jc w:val="both"/>
      </w:pPr>
      <w:r>
        <w:rPr>
          <w:rFonts w:ascii="Times New Roman"/>
          <w:b w:val="false"/>
          <w:i w:val="false"/>
          <w:color w:val="000000"/>
          <w:sz w:val="28"/>
        </w:rPr>
        <w:t xml:space="preserve">
      Анализ получаемых сведений и оценка по показателям осуществляется два раза в год до первого мая и до первого декабря отчетного года. </w:t>
      </w:r>
    </w:p>
    <w:bookmarkEnd w:id="89"/>
    <w:bookmarkStart w:name="z103" w:id="90"/>
    <w:p>
      <w:pPr>
        <w:spacing w:after="0"/>
        <w:ind w:left="0"/>
        <w:jc w:val="both"/>
      </w:pPr>
      <w:r>
        <w:rPr>
          <w:rFonts w:ascii="Times New Roman"/>
          <w:b w:val="false"/>
          <w:i w:val="false"/>
          <w:color w:val="000000"/>
          <w:sz w:val="28"/>
        </w:rPr>
        <w:t>
      Если в отношении субъекта (объекта) контроля ранее проводился профилактический контроль с посещением, анализируемым периодом является период со дня после даты окончания последнего профилактического контроля с посещением до начала проводимого анализа.</w:t>
      </w:r>
    </w:p>
    <w:bookmarkEnd w:id="90"/>
    <w:bookmarkStart w:name="z104" w:id="91"/>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пунктом 4 статьи 144-2 Кодекса.</w:t>
      </w:r>
    </w:p>
    <w:bookmarkEnd w:id="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магистральном трубопроводе</w:t>
            </w:r>
          </w:p>
        </w:tc>
      </w:tr>
    </w:tbl>
    <w:bookmarkStart w:name="z106" w:id="92"/>
    <w:p>
      <w:pPr>
        <w:spacing w:after="0"/>
        <w:ind w:left="0"/>
        <w:jc w:val="left"/>
      </w:pPr>
      <w:r>
        <w:rPr>
          <w:rFonts w:ascii="Times New Roman"/>
          <w:b/>
          <w:i w:val="false"/>
          <w:color w:val="000000"/>
        </w:rPr>
        <w:t xml:space="preserve"> Субъективные критерии оценки степени риска в отношении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либо уполномоченной им организации, оказывающей операторские услуги, национального оператора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работы и услуги в сфере углеводородов" на подвид деятельности "Эксплуатация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магистральных трубопроводов, предназначенных для транспортировки нефти, контрольными приборами учета сырой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по магистральному трубопроводу при ограниченной пропускной мощности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 утвержденный уполномоченным органом в области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об ежесуточной информации по транспортировке нефти и газового конденсата на экспорт;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 ежемесячной информации по транспортировке нефти и газового конденсата на экспорт (за исключением трубопровода "Омск-Павлодар");</w:t>
            </w:r>
          </w:p>
          <w:p>
            <w:pPr>
              <w:spacing w:after="20"/>
              <w:ind w:left="20"/>
              <w:jc w:val="both"/>
            </w:pP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плана-графика ведения работ по текущему ремонту оборудования и сооружений линейной части, и его соблюдение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годового плана работ по очистке магистрального нефтепровода пропуском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предотвращению разрушения нефтепроводов с указанием сроков и объемов работ по ремонту линейной части и объектов магистральных нефтепроводов по результатам диагностирования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(в том числе капитального) резервуаров с учетом возможности обеспечения надежной эксплуатации резервуарного парка на основании диагностирования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с указанием перечня работ, порядка и сроков их выполнения при расконсервации объектов (оборудования) или вводе их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Наличие автоматизации на следующих объектах магистрального нефтепровода: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головные нефтеперекачивающие станции с магистральными, подпорными насосными, резервуарными парками;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промежуточные нефтеперекачивающие станции с магистральными насосными;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станции/пункты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узел учета нефти/система измерения количества и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вспомогательные инженерные сооружения;</w:t>
            </w:r>
          </w:p>
          <w:p>
            <w:pPr>
              <w:spacing w:after="20"/>
              <w:ind w:left="20"/>
              <w:jc w:val="both"/>
            </w:pPr>
            <w:r>
              <w:rPr>
                <w:rFonts w:ascii="Times New Roman"/>
                <w:b w:val="false"/>
                <w:i w:val="false"/>
                <w:color w:val="000000"/>
                <w:sz w:val="20"/>
              </w:rPr>
              <w:t>
6) линейная часть магистральных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Наличие двух и более подтвержденных жалоб и обращений по следующим вопросам: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об отсутствии на объектах трубопровода контрольных приборов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 нарушении графика транспортировки продукции по магистральным нефтепроводам;</w:t>
            </w:r>
          </w:p>
          <w:p>
            <w:pPr>
              <w:spacing w:after="20"/>
              <w:ind w:left="20"/>
              <w:jc w:val="both"/>
            </w:pPr>
            <w:r>
              <w:rPr>
                <w:rFonts w:ascii="Times New Roman"/>
                <w:b w:val="false"/>
                <w:i w:val="false"/>
                <w:color w:val="000000"/>
                <w:sz w:val="20"/>
              </w:rPr>
              <w:t>
3) о несоблюдении равных условий предоставления доступа к услугам по транспортировке продукции по магистральному трубопроводу всем отправителям при наличии свободной пропускной мощности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магистральном трубопроводе</w:t>
            </w:r>
          </w:p>
        </w:tc>
      </w:tr>
    </w:tbl>
    <w:bookmarkStart w:name="z120" w:id="96"/>
    <w:p>
      <w:pPr>
        <w:spacing w:after="0"/>
        <w:ind w:left="0"/>
        <w:jc w:val="left"/>
      </w:pPr>
      <w:r>
        <w:rPr>
          <w:rFonts w:ascii="Times New Roman"/>
          <w:b/>
          <w:i w:val="false"/>
          <w:color w:val="000000"/>
        </w:rPr>
        <w:t xml:space="preserve"> Субъективные критерии оценки степени риска в отношении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либо уполномоченной им организации, оказывающей операторские услуги, национального оператора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работы и услуги в сфере углеводородов" на подвид деятельности "Эксплуатация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газо-транспортной организацией плана-графика технического обслуживания и ремонта магистрального газопровода и газопровода технологической обвязки компрессорных станций, газораспределительных станций, газоизмерительных станций, подземных хранилищ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мониторинга и диагностики на компрессорной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плана с объемом и графиками периодического технического обслуживания и текущего ремонта, утвержденного техническим руководителем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планово-предупредительных ремонтов, согласованного с начальником службы газораспределительной станции и утвержденного руководством линейно-производственного управления магистрального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 по вопросу несоблюдения равных условий предоставления доступа к услугам по транспортировке продукции по магистральному трубопроводу всем отправителям при наличии свободной пропускной мощности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100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w:t>
            </w:r>
            <w:r>
              <w:br/>
            </w:r>
            <w:r>
              <w:rPr>
                <w:rFonts w:ascii="Times New Roman"/>
                <w:b w:val="false"/>
                <w:i w:val="false"/>
                <w:color w:val="000000"/>
                <w:sz w:val="20"/>
              </w:rPr>
              <w:t>от 29 ноября 2022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bookmarkStart w:name="z123" w:id="97"/>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 владельцев</w:t>
      </w:r>
      <w:r>
        <w:br/>
      </w:r>
      <w:r>
        <w:rPr>
          <w:rFonts w:ascii="Times New Roman"/>
          <w:b/>
          <w:i w:val="false"/>
          <w:color w:val="000000"/>
        </w:rPr>
        <w:t>магистральным нефтепродуктопроводом на праве собственности или юридического</w:t>
      </w:r>
      <w:r>
        <w:br/>
      </w:r>
      <w:r>
        <w:rPr>
          <w:rFonts w:ascii="Times New Roman"/>
          <w:b/>
          <w:i w:val="false"/>
          <w:color w:val="000000"/>
        </w:rPr>
        <w:t>лица, владеющего магистральным нефтепродуктопроводом на ином законном</w:t>
      </w:r>
      <w:r>
        <w:br/>
      </w:r>
      <w:r>
        <w:rPr>
          <w:rFonts w:ascii="Times New Roman"/>
          <w:b/>
          <w:i w:val="false"/>
          <w:color w:val="000000"/>
        </w:rPr>
        <w:t>основании, либо уполномоченной им организации, оказывающей операторские услуги,</w:t>
      </w:r>
      <w:r>
        <w:br/>
      </w:r>
      <w:r>
        <w:rPr>
          <w:rFonts w:ascii="Times New Roman"/>
          <w:b/>
          <w:i w:val="false"/>
          <w:color w:val="000000"/>
        </w:rPr>
        <w:t>национального оператора</w:t>
      </w:r>
    </w:p>
    <w:bookmarkEnd w:id="97"/>
    <w:p>
      <w:pPr>
        <w:spacing w:after="0"/>
        <w:ind w:left="0"/>
        <w:jc w:val="both"/>
      </w:pPr>
      <w:bookmarkStart w:name="z124" w:id="98"/>
      <w:r>
        <w:rPr>
          <w:rFonts w:ascii="Times New Roman"/>
          <w:b w:val="false"/>
          <w:i w:val="false"/>
          <w:color w:val="000000"/>
          <w:sz w:val="28"/>
        </w:rPr>
        <w:t>
      Государственный орган, назначивший проверку /профилактический контроль с посещением</w:t>
      </w:r>
    </w:p>
    <w:bookmarkEnd w:id="98"/>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25" w:id="99"/>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99"/>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26" w:id="100"/>
      <w:r>
        <w:rPr>
          <w:rFonts w:ascii="Times New Roman"/>
          <w:b w:val="false"/>
          <w:i w:val="false"/>
          <w:color w:val="000000"/>
          <w:sz w:val="28"/>
        </w:rPr>
        <w:t>
      Наименование субъекта (объекта) контроля _________________________________________</w:t>
      </w:r>
    </w:p>
    <w:bookmarkEnd w:id="10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27" w:id="101"/>
      <w:r>
        <w:rPr>
          <w:rFonts w:ascii="Times New Roman"/>
          <w:b w:val="false"/>
          <w:i w:val="false"/>
          <w:color w:val="000000"/>
          <w:sz w:val="28"/>
        </w:rPr>
        <w:t>
      Индивидуальный идентификационный номер/бизнес-идентификационный номер субъекта</w:t>
      </w:r>
    </w:p>
    <w:bookmarkEnd w:id="101"/>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28" w:id="102"/>
      <w:r>
        <w:rPr>
          <w:rFonts w:ascii="Times New Roman"/>
          <w:b w:val="false"/>
          <w:i w:val="false"/>
          <w:color w:val="000000"/>
          <w:sz w:val="28"/>
        </w:rPr>
        <w:t>
      Адрес места нахождения _________________________________________________________</w:t>
      </w:r>
    </w:p>
    <w:bookmarkEnd w:id="102"/>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работы и услуги в сфере углеводородов" на подвид деятельности "Эксплуатация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нефтепродуктопроводом на праве собственности или юридического лица, владеющего магистральным нефтепродуктопроводом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нефтепродуктопровода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 w:id="103"/>
      <w:r>
        <w:rPr>
          <w:rFonts w:ascii="Times New Roman"/>
          <w:b w:val="false"/>
          <w:i w:val="false"/>
          <w:color w:val="000000"/>
          <w:sz w:val="28"/>
        </w:rPr>
        <w:t>
      Должностное (ые) лицо (а)</w:t>
      </w:r>
    </w:p>
    <w:bookmarkEnd w:id="10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bookmarkStart w:name="z130" w:id="104"/>
      <w:r>
        <w:rPr>
          <w:rFonts w:ascii="Times New Roman"/>
          <w:b w:val="false"/>
          <w:i w:val="false"/>
          <w:color w:val="000000"/>
          <w:sz w:val="28"/>
        </w:rPr>
        <w:t>
      Руководитель субъекта контроля</w:t>
      </w:r>
    </w:p>
    <w:bookmarkEnd w:id="104"/>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100 и</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29 ноября 2022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bookmarkStart w:name="z133" w:id="105"/>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 владельцев</w:t>
      </w:r>
      <w:r>
        <w:br/>
      </w:r>
      <w:r>
        <w:rPr>
          <w:rFonts w:ascii="Times New Roman"/>
          <w:b/>
          <w:i w:val="false"/>
          <w:color w:val="000000"/>
        </w:rPr>
        <w:t>магистральным нефтепроводом на праве собственности или юридического лица,</w:t>
      </w:r>
      <w:r>
        <w:br/>
      </w:r>
      <w:r>
        <w:rPr>
          <w:rFonts w:ascii="Times New Roman"/>
          <w:b/>
          <w:i w:val="false"/>
          <w:color w:val="000000"/>
        </w:rPr>
        <w:t>владеющего магистральным нефтепроводом на ином законном основании, либо</w:t>
      </w:r>
      <w:r>
        <w:br/>
      </w:r>
      <w:r>
        <w:rPr>
          <w:rFonts w:ascii="Times New Roman"/>
          <w:b/>
          <w:i w:val="false"/>
          <w:color w:val="000000"/>
        </w:rPr>
        <w:t>уполномоченной им организации, оказывающей операторские услуги,</w:t>
      </w:r>
      <w:r>
        <w:br/>
      </w:r>
      <w:r>
        <w:rPr>
          <w:rFonts w:ascii="Times New Roman"/>
          <w:b/>
          <w:i w:val="false"/>
          <w:color w:val="000000"/>
        </w:rPr>
        <w:t>национального оператора</w:t>
      </w:r>
    </w:p>
    <w:bookmarkEnd w:id="105"/>
    <w:p>
      <w:pPr>
        <w:spacing w:after="0"/>
        <w:ind w:left="0"/>
        <w:jc w:val="both"/>
      </w:pPr>
      <w:bookmarkStart w:name="z134" w:id="106"/>
      <w:r>
        <w:rPr>
          <w:rFonts w:ascii="Times New Roman"/>
          <w:b w:val="false"/>
          <w:i w:val="false"/>
          <w:color w:val="000000"/>
          <w:sz w:val="28"/>
        </w:rPr>
        <w:t>
      Государственный орган, назначивший проверку /профилактический контроль с</w:t>
      </w:r>
    </w:p>
    <w:bookmarkEnd w:id="106"/>
    <w:p>
      <w:pPr>
        <w:spacing w:after="0"/>
        <w:ind w:left="0"/>
        <w:jc w:val="both"/>
      </w:pPr>
      <w:r>
        <w:rPr>
          <w:rFonts w:ascii="Times New Roman"/>
          <w:b w:val="false"/>
          <w:i w:val="false"/>
          <w:color w:val="000000"/>
          <w:sz w:val="28"/>
        </w:rPr>
        <w:t>посещением 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35" w:id="107"/>
      <w:r>
        <w:rPr>
          <w:rFonts w:ascii="Times New Roman"/>
          <w:b w:val="false"/>
          <w:i w:val="false"/>
          <w:color w:val="000000"/>
          <w:sz w:val="28"/>
        </w:rPr>
        <w:t>
      Наименование субъекта (объекта) контроля _________________________________________</w:t>
      </w:r>
    </w:p>
    <w:bookmarkEnd w:id="10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работы и услуги в сфере углеводородов" на подвид деятельности "Эксплуатация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магистральных трубопроводов, предназначенных для транспортировки нефти, контрольными приборами учета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по магистральному трубопроводу при ограниченной пропускной мощности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об ежесуточной информации по транспортировке нефти и газового конденсата на экспорт;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 ежемесячной информации по транспортировке нефти и газового конденсата на экспорт (за исключением трубопровода "Омск-Павлодар");</w:t>
            </w:r>
          </w:p>
          <w:p>
            <w:pPr>
              <w:spacing w:after="20"/>
              <w:ind w:left="20"/>
              <w:jc w:val="both"/>
            </w:pP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плана-графика ведения работ по текущему ремонту оборудования и сооружений линейной части, и его соблюдение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годового плана работ по очистке магистрального нефтепровода пропуском очистных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предотвращению разрушения нефтепроводов с указанием сроков и объемов работ по ремонту линейной части и объектов магистральных нефтепроводов по результатам диагностирования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(в том числе капитального) резервуаров с учетом возможности обеспечения надежной эксплуатации резервуарного парка на основании диагностирования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с указанием перечня работ, порядка и сроков их выполнения при расконсервации объектов (оборудования) или вводе их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Наличие автоматизации на следующих объектах магистрального нефтепровода:</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головные нефтеперекачивающие станции с магистральными, подпорными насосными, резервуарными парками;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промежуточные нефтеперекачивающие станции с магистральными насосными;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станции/пункты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узел учета нефти/система измерения количества и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вспомогательные инженерные сооружения;</w:t>
            </w:r>
          </w:p>
          <w:p>
            <w:pPr>
              <w:spacing w:after="20"/>
              <w:ind w:left="20"/>
              <w:jc w:val="both"/>
            </w:pPr>
            <w:r>
              <w:rPr>
                <w:rFonts w:ascii="Times New Roman"/>
                <w:b w:val="false"/>
                <w:i w:val="false"/>
                <w:color w:val="000000"/>
                <w:sz w:val="20"/>
              </w:rPr>
              <w:t>
6) линейная часть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10"/>
      <w:r>
        <w:rPr>
          <w:rFonts w:ascii="Times New Roman"/>
          <w:b w:val="false"/>
          <w:i w:val="false"/>
          <w:color w:val="000000"/>
          <w:sz w:val="28"/>
        </w:rPr>
        <w:t>
      Должностное (ые) лицо (а)</w:t>
      </w:r>
    </w:p>
    <w:bookmarkEnd w:id="110"/>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100 и</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w:t>
            </w:r>
            <w:r>
              <w:br/>
            </w:r>
            <w:r>
              <w:rPr>
                <w:rFonts w:ascii="Times New Roman"/>
                <w:b w:val="false"/>
                <w:i w:val="false"/>
                <w:color w:val="000000"/>
                <w:sz w:val="20"/>
              </w:rPr>
              <w:t>от 29 ноября 2022 года № 384</w:t>
            </w:r>
            <w:r>
              <w:br/>
            </w:r>
            <w:r>
              <w:rPr>
                <w:rFonts w:ascii="Times New Roman"/>
                <w:b w:val="false"/>
                <w:i w:val="false"/>
                <w:color w:val="000000"/>
                <w:sz w:val="20"/>
              </w:rPr>
              <w:t>Приложение 4 к совместному</w:t>
            </w:r>
            <w:r>
              <w:br/>
            </w:r>
            <w:r>
              <w:rPr>
                <w:rFonts w:ascii="Times New Roman"/>
                <w:b w:val="false"/>
                <w:i w:val="false"/>
                <w:color w:val="000000"/>
                <w:sz w:val="20"/>
              </w:rPr>
              <w:t>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bookmarkStart w:name="z147" w:id="111"/>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 владельцев</w:t>
      </w:r>
      <w:r>
        <w:br/>
      </w:r>
      <w:r>
        <w:rPr>
          <w:rFonts w:ascii="Times New Roman"/>
          <w:b/>
          <w:i w:val="false"/>
          <w:color w:val="000000"/>
        </w:rPr>
        <w:t>магистральным газопроводом на праве собственности или юридического лица,</w:t>
      </w:r>
      <w:r>
        <w:br/>
      </w:r>
      <w:r>
        <w:rPr>
          <w:rFonts w:ascii="Times New Roman"/>
          <w:b/>
          <w:i w:val="false"/>
          <w:color w:val="000000"/>
        </w:rPr>
        <w:t>владеющего магистральным газопроводом на ином законном основании, либо</w:t>
      </w:r>
      <w:r>
        <w:br/>
      </w:r>
      <w:r>
        <w:rPr>
          <w:rFonts w:ascii="Times New Roman"/>
          <w:b/>
          <w:i w:val="false"/>
          <w:color w:val="000000"/>
        </w:rPr>
        <w:t>уполномоченной им организации, оказывающей операторские услуги,</w:t>
      </w:r>
      <w:r>
        <w:br/>
      </w:r>
      <w:r>
        <w:rPr>
          <w:rFonts w:ascii="Times New Roman"/>
          <w:b/>
          <w:i w:val="false"/>
          <w:color w:val="000000"/>
        </w:rPr>
        <w:t>национального оператора</w:t>
      </w:r>
    </w:p>
    <w:bookmarkEnd w:id="111"/>
    <w:p>
      <w:pPr>
        <w:spacing w:after="0"/>
        <w:ind w:left="0"/>
        <w:jc w:val="both"/>
      </w:pPr>
      <w:bookmarkStart w:name="z148" w:id="112"/>
      <w:r>
        <w:rPr>
          <w:rFonts w:ascii="Times New Roman"/>
          <w:b w:val="false"/>
          <w:i w:val="false"/>
          <w:color w:val="000000"/>
          <w:sz w:val="28"/>
        </w:rPr>
        <w:t>
      Государственный орган, назначивший проверку /профилактический контроль с посещением</w:t>
      </w:r>
    </w:p>
    <w:bookmarkEnd w:id="112"/>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49" w:id="113"/>
      <w:r>
        <w:rPr>
          <w:rFonts w:ascii="Times New Roman"/>
          <w:b w:val="false"/>
          <w:i w:val="false"/>
          <w:color w:val="000000"/>
          <w:sz w:val="28"/>
        </w:rPr>
        <w:t>
      Наименование субъекта (объекта) контроля _________________________________________</w:t>
      </w:r>
    </w:p>
    <w:bookmarkEnd w:id="11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50" w:id="114"/>
      <w:r>
        <w:rPr>
          <w:rFonts w:ascii="Times New Roman"/>
          <w:b w:val="false"/>
          <w:i w:val="false"/>
          <w:color w:val="000000"/>
          <w:sz w:val="28"/>
        </w:rPr>
        <w:t>
      Адрес места нахождения _________________________________________________________</w:t>
      </w:r>
    </w:p>
    <w:bookmarkEnd w:id="114"/>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работы и услуги в сфере углеводородов" на подвид деятельности "Эксплуатация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газо-транспортной организацией плана-графика технического обслуживания и ремонта магистрального газопровода и газопровода технологической обвязки компрессорных станций, газораспределительных станций, газоизмерительных станций, подземных хранилищ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мониторинга и диагностики на компрессорной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плана с объемом и графиками периодического технического обслуживания и текущего ремонта, утвержденного техническим руководителем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планово-предупредительных ремонтов, согласованного с начальником службы газораспределительной станции и утвержденного руководством линейно-производственного управления магистрального газопровода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газопровода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115"/>
      <w:r>
        <w:rPr>
          <w:rFonts w:ascii="Times New Roman"/>
          <w:b w:val="false"/>
          <w:i w:val="false"/>
          <w:color w:val="000000"/>
          <w:sz w:val="28"/>
        </w:rPr>
        <w:t>
      Должностное (ые) лицо (а)</w:t>
      </w:r>
    </w:p>
    <w:bookmarkEnd w:id="11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bookmarkStart w:name="z152" w:id="116"/>
      <w:r>
        <w:rPr>
          <w:rFonts w:ascii="Times New Roman"/>
          <w:b w:val="false"/>
          <w:i w:val="false"/>
          <w:color w:val="000000"/>
          <w:sz w:val="28"/>
        </w:rPr>
        <w:t>
      Руководитель субъекта контроля</w:t>
      </w:r>
    </w:p>
    <w:bookmarkEnd w:id="116"/>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100 и</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29 ноября 2022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bookmarkStart w:name="z155" w:id="117"/>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w:t>
      </w:r>
      <w:r>
        <w:br/>
      </w:r>
      <w:r>
        <w:rPr>
          <w:rFonts w:ascii="Times New Roman"/>
          <w:b/>
          <w:i w:val="false"/>
          <w:color w:val="000000"/>
        </w:rPr>
        <w:t>собственников терминалов</w:t>
      </w:r>
    </w:p>
    <w:bookmarkEnd w:id="117"/>
    <w:p>
      <w:pPr>
        <w:spacing w:after="0"/>
        <w:ind w:left="0"/>
        <w:jc w:val="both"/>
      </w:pPr>
      <w:bookmarkStart w:name="z156" w:id="118"/>
      <w:r>
        <w:rPr>
          <w:rFonts w:ascii="Times New Roman"/>
          <w:b w:val="false"/>
          <w:i w:val="false"/>
          <w:color w:val="000000"/>
          <w:sz w:val="28"/>
        </w:rPr>
        <w:t>
      Государственный орган, назначивший проверку /профилактический контроль с</w:t>
      </w:r>
    </w:p>
    <w:bookmarkEnd w:id="118"/>
    <w:p>
      <w:pPr>
        <w:spacing w:after="0"/>
        <w:ind w:left="0"/>
        <w:jc w:val="both"/>
      </w:pPr>
      <w:r>
        <w:rPr>
          <w:rFonts w:ascii="Times New Roman"/>
          <w:b w:val="false"/>
          <w:i w:val="false"/>
          <w:color w:val="000000"/>
          <w:sz w:val="28"/>
        </w:rPr>
        <w:t>посещением 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57" w:id="119"/>
      <w:r>
        <w:rPr>
          <w:rFonts w:ascii="Times New Roman"/>
          <w:b w:val="false"/>
          <w:i w:val="false"/>
          <w:color w:val="000000"/>
          <w:sz w:val="28"/>
        </w:rPr>
        <w:t>
      Акт о назначении проверки/профилактического контроля с посещением субъекта</w:t>
      </w:r>
    </w:p>
    <w:bookmarkEnd w:id="119"/>
    <w:p>
      <w:pPr>
        <w:spacing w:after="0"/>
        <w:ind w:left="0"/>
        <w:jc w:val="both"/>
      </w:pPr>
      <w:r>
        <w:rPr>
          <w:rFonts w:ascii="Times New Roman"/>
          <w:b w:val="false"/>
          <w:i w:val="false"/>
          <w:color w:val="000000"/>
          <w:sz w:val="28"/>
        </w:rPr>
        <w:t>(объекта) контроля 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58" w:id="120"/>
      <w:r>
        <w:rPr>
          <w:rFonts w:ascii="Times New Roman"/>
          <w:b w:val="false"/>
          <w:i w:val="false"/>
          <w:color w:val="000000"/>
          <w:sz w:val="28"/>
        </w:rPr>
        <w:t>
      Наименование субъекта (объекта) контроля 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59" w:id="121"/>
      <w:r>
        <w:rPr>
          <w:rFonts w:ascii="Times New Roman"/>
          <w:b w:val="false"/>
          <w:i w:val="false"/>
          <w:color w:val="000000"/>
          <w:sz w:val="28"/>
        </w:rPr>
        <w:t>
      Индивидуальный идентификационный номер / бизнес-идентификационный</w:t>
      </w:r>
    </w:p>
    <w:bookmarkEnd w:id="121"/>
    <w:p>
      <w:pPr>
        <w:spacing w:after="0"/>
        <w:ind w:left="0"/>
        <w:jc w:val="both"/>
      </w:pPr>
      <w:r>
        <w:rPr>
          <w:rFonts w:ascii="Times New Roman"/>
          <w:b w:val="false"/>
          <w:i w:val="false"/>
          <w:color w:val="000000"/>
          <w:sz w:val="28"/>
        </w:rPr>
        <w:t>номер 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60" w:id="122"/>
      <w:r>
        <w:rPr>
          <w:rFonts w:ascii="Times New Roman"/>
          <w:b w:val="false"/>
          <w:i w:val="false"/>
          <w:color w:val="000000"/>
          <w:sz w:val="28"/>
        </w:rPr>
        <w:t>
      Адрес места нахождения _______________________________________________________</w:t>
      </w:r>
    </w:p>
    <w:bookmarkEnd w:id="122"/>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промышленных объектов терминала контрольными приборами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в области магистрального трубопровода отчета об ежемесячной информации по движению нефти на терминале, необходимого для ведомственного статистического наблюдения или административного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123"/>
      <w:r>
        <w:rPr>
          <w:rFonts w:ascii="Times New Roman"/>
          <w:b w:val="false"/>
          <w:i w:val="false"/>
          <w:color w:val="000000"/>
          <w:sz w:val="28"/>
        </w:rPr>
        <w:t>
      Должностное (ые) лицо (а)</w:t>
      </w:r>
    </w:p>
    <w:bookmarkEnd w:id="12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bookmarkStart w:name="z162" w:id="124"/>
      <w:r>
        <w:rPr>
          <w:rFonts w:ascii="Times New Roman"/>
          <w:b w:val="false"/>
          <w:i w:val="false"/>
          <w:color w:val="000000"/>
          <w:sz w:val="28"/>
        </w:rPr>
        <w:t>
      Руководитель субъекта контроля</w:t>
      </w:r>
    </w:p>
    <w:bookmarkEnd w:id="124"/>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