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efff" w14:textId="7eae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и развития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106. Зарегистрировано в Министерстве юстиции Республики Казахстан 25 ноября 2022 года № 30729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и развития рынка ценных бумаг, в которые вносятся изменения и дополнение,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пунктов 3 и 4 Перечня, которые вводятся в действие с 1 апреля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106</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и развития рынка ценных бумаг, в которые вносятся изменения и дополнение</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168 "О минимальном размере уставного капитала заявителя (лицензиата)" (зарегистрировано в Реестре государственной регистрации нормативных правовых актов под № 7733)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 Установить минимальный размер уставного капитала для заявителя на:</w:t>
      </w:r>
    </w:p>
    <w:bookmarkEnd w:id="11"/>
    <w:bookmarkStart w:name="z19" w:id="12"/>
    <w:p>
      <w:pPr>
        <w:spacing w:after="0"/>
        <w:ind w:left="0"/>
        <w:jc w:val="both"/>
      </w:pPr>
      <w:r>
        <w:rPr>
          <w:rFonts w:ascii="Times New Roman"/>
          <w:b w:val="false"/>
          <w:i w:val="false"/>
          <w:color w:val="000000"/>
          <w:sz w:val="28"/>
        </w:rPr>
        <w:t>
      1) осуществление деятельности по управлению инвестиционным портфелем с правом привлечения добровольных пенсионных взносов (добровольный накопительный пенсионный фонд) в размере 800 000 - кратного размера месячного расчетного показателя, установленного законом о республиканском бюджете на соответствующий финансовый год;</w:t>
      </w:r>
    </w:p>
    <w:bookmarkEnd w:id="12"/>
    <w:bookmarkStart w:name="z20" w:id="13"/>
    <w:p>
      <w:pPr>
        <w:spacing w:after="0"/>
        <w:ind w:left="0"/>
        <w:jc w:val="both"/>
      </w:pPr>
      <w:r>
        <w:rPr>
          <w:rFonts w:ascii="Times New Roman"/>
          <w:b w:val="false"/>
          <w:i w:val="false"/>
          <w:color w:val="000000"/>
          <w:sz w:val="28"/>
        </w:rPr>
        <w:t xml:space="preserve">
      2) осуществление брокерской и (или) дилерской деятельности с правом ведения счетов клиентов в качестве номинального держателя в размере, не превышающем требования к уставному капиталу, установленном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акционерных обществах" (далее – Закон об АО);</w:t>
      </w:r>
    </w:p>
    <w:bookmarkEnd w:id="13"/>
    <w:bookmarkStart w:name="z21" w:id="14"/>
    <w:p>
      <w:pPr>
        <w:spacing w:after="0"/>
        <w:ind w:left="0"/>
        <w:jc w:val="both"/>
      </w:pPr>
      <w:r>
        <w:rPr>
          <w:rFonts w:ascii="Times New Roman"/>
          <w:b w:val="false"/>
          <w:i w:val="false"/>
          <w:color w:val="000000"/>
          <w:sz w:val="28"/>
        </w:rPr>
        <w:t>
      3) осуществление брокерской и (или) дилерской деятельности без права ведения счетов клиентов в организационно-правовой форме:</w:t>
      </w:r>
    </w:p>
    <w:bookmarkEnd w:id="14"/>
    <w:bookmarkStart w:name="z22" w:id="15"/>
    <w:p>
      <w:pPr>
        <w:spacing w:after="0"/>
        <w:ind w:left="0"/>
        <w:jc w:val="both"/>
      </w:pPr>
      <w:r>
        <w:rPr>
          <w:rFonts w:ascii="Times New Roman"/>
          <w:b w:val="false"/>
          <w:i w:val="false"/>
          <w:color w:val="000000"/>
          <w:sz w:val="28"/>
        </w:rPr>
        <w:t xml:space="preserve">
      акционерного общества - в размере, не превышающем требования к уставному капиталу, установленном в </w:t>
      </w:r>
      <w:r>
        <w:rPr>
          <w:rFonts w:ascii="Times New Roman"/>
          <w:b w:val="false"/>
          <w:i w:val="false"/>
          <w:color w:val="000000"/>
          <w:sz w:val="28"/>
        </w:rPr>
        <w:t>Законе об АО</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товарищества с ограниченной ответственностью - в размере, не превышающем требования к уставному капиталу, установленном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ТОО);</w:t>
      </w:r>
    </w:p>
    <w:bookmarkEnd w:id="16"/>
    <w:bookmarkStart w:name="z24" w:id="17"/>
    <w:p>
      <w:pPr>
        <w:spacing w:after="0"/>
        <w:ind w:left="0"/>
        <w:jc w:val="both"/>
      </w:pPr>
      <w:r>
        <w:rPr>
          <w:rFonts w:ascii="Times New Roman"/>
          <w:b w:val="false"/>
          <w:i w:val="false"/>
          <w:color w:val="000000"/>
          <w:sz w:val="28"/>
        </w:rPr>
        <w:t xml:space="preserve">
      4) осуществление деятельности по управлению инвестиционным портфелем без права привлечения добровольных пенсионных взносов в размере, не превышающем требования к уставному капиталу, установленном в </w:t>
      </w:r>
      <w:r>
        <w:rPr>
          <w:rFonts w:ascii="Times New Roman"/>
          <w:b w:val="false"/>
          <w:i w:val="false"/>
          <w:color w:val="000000"/>
          <w:sz w:val="28"/>
        </w:rPr>
        <w:t>Законе об АО</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5) совмещение брокерской и (или) дилерской деятельности с деятельностью по управлению инвестиционным портфелем без права привлечения добровольных пенсионных взносов в размере, не превышающем требования к уставному капиталу, установленном в </w:t>
      </w:r>
      <w:r>
        <w:rPr>
          <w:rFonts w:ascii="Times New Roman"/>
          <w:b w:val="false"/>
          <w:i w:val="false"/>
          <w:color w:val="000000"/>
          <w:sz w:val="28"/>
        </w:rPr>
        <w:t>Законе об АО</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6) осуществление деятельности по организации торговли с ценными бумагами и иными финансовыми инструментами в размере 500 000 - кратного размера месячного расчетного показателя, установленного законом о республиканском бюджете на соответствующий финансовый год;</w:t>
      </w:r>
    </w:p>
    <w:bookmarkEnd w:id="19"/>
    <w:bookmarkStart w:name="z27" w:id="20"/>
    <w:p>
      <w:pPr>
        <w:spacing w:after="0"/>
        <w:ind w:left="0"/>
        <w:jc w:val="both"/>
      </w:pPr>
      <w:r>
        <w:rPr>
          <w:rFonts w:ascii="Times New Roman"/>
          <w:b w:val="false"/>
          <w:i w:val="false"/>
          <w:color w:val="000000"/>
          <w:sz w:val="28"/>
        </w:rPr>
        <w:t>
      7) осуществление клиринговой деятельности по сделкам с финансовыми инструментами в размере 500 000 - кратного размера месячного расчетного показателя, установленного законом о республиканском бюджете на соответствующий финансовый год;</w:t>
      </w:r>
    </w:p>
    <w:bookmarkEnd w:id="20"/>
    <w:bookmarkStart w:name="z28" w:id="21"/>
    <w:p>
      <w:pPr>
        <w:spacing w:after="0"/>
        <w:ind w:left="0"/>
        <w:jc w:val="both"/>
      </w:pPr>
      <w:r>
        <w:rPr>
          <w:rFonts w:ascii="Times New Roman"/>
          <w:b w:val="false"/>
          <w:i w:val="false"/>
          <w:color w:val="000000"/>
          <w:sz w:val="28"/>
        </w:rPr>
        <w:t>
      8) осуществление трансфер-агентской деятельности профессиональным участником рынка ценных бумаг, созданным в организационно-правовой форме:</w:t>
      </w:r>
    </w:p>
    <w:bookmarkEnd w:id="21"/>
    <w:bookmarkStart w:name="z29" w:id="22"/>
    <w:p>
      <w:pPr>
        <w:spacing w:after="0"/>
        <w:ind w:left="0"/>
        <w:jc w:val="both"/>
      </w:pPr>
      <w:r>
        <w:rPr>
          <w:rFonts w:ascii="Times New Roman"/>
          <w:b w:val="false"/>
          <w:i w:val="false"/>
          <w:color w:val="000000"/>
          <w:sz w:val="28"/>
        </w:rPr>
        <w:t xml:space="preserve">
      акционерного общества - в размере, не превышающем требования к уставному капиталу, установленном в </w:t>
      </w:r>
      <w:r>
        <w:rPr>
          <w:rFonts w:ascii="Times New Roman"/>
          <w:b w:val="false"/>
          <w:i w:val="false"/>
          <w:color w:val="000000"/>
          <w:sz w:val="28"/>
        </w:rPr>
        <w:t>Законе об АО</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товарищества с ограниченной ответственностью - в размере, не превышающем требования к уставному капиталу, установленном в </w:t>
      </w:r>
      <w:r>
        <w:rPr>
          <w:rFonts w:ascii="Times New Roman"/>
          <w:b w:val="false"/>
          <w:i w:val="false"/>
          <w:color w:val="000000"/>
          <w:sz w:val="28"/>
        </w:rPr>
        <w:t>Законе о ТОО</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9) совмещение деятельности по управлению инвестиционным портфелем с правом привлечения добровольных пенсионных взносов с брокерской и (или) дилерской деятельностью в размере 800 000 - кратного размера месячного расчетного показателя, установленного законом о республиканском бюджете на соответствующий финансовый год.".</w:t>
      </w:r>
    </w:p>
    <w:bookmarkEnd w:id="24"/>
    <w:bookmarkStart w:name="z32" w:id="2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следующее дополнение:</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26"/>
    <w:bookmarkStart w:name="z34" w:id="27"/>
    <w:p>
      <w:pPr>
        <w:spacing w:after="0"/>
        <w:ind w:left="0"/>
        <w:jc w:val="both"/>
      </w:pPr>
      <w:r>
        <w:rPr>
          <w:rFonts w:ascii="Times New Roman"/>
          <w:b w:val="false"/>
          <w:i w:val="false"/>
          <w:color w:val="000000"/>
          <w:sz w:val="28"/>
        </w:rPr>
        <w:t>
      дополнить пунктом 7-1 следующего содержания:</w:t>
      </w:r>
    </w:p>
    <w:bookmarkEnd w:id="27"/>
    <w:bookmarkStart w:name="z35" w:id="28"/>
    <w:p>
      <w:pPr>
        <w:spacing w:after="0"/>
        <w:ind w:left="0"/>
        <w:jc w:val="both"/>
      </w:pPr>
      <w:r>
        <w:rPr>
          <w:rFonts w:ascii="Times New Roman"/>
          <w:b w:val="false"/>
          <w:i w:val="false"/>
          <w:color w:val="000000"/>
          <w:sz w:val="28"/>
        </w:rPr>
        <w:t>
      "7-1. Уполномоченный орган в рамках оценки эффективности системы управления рисками и внутреннего контроля брокера и (или) дилера, Управляющего руководствуется следующими принципами:</w:t>
      </w:r>
    </w:p>
    <w:bookmarkEnd w:id="28"/>
    <w:bookmarkStart w:name="z36" w:id="29"/>
    <w:p>
      <w:pPr>
        <w:spacing w:after="0"/>
        <w:ind w:left="0"/>
        <w:jc w:val="both"/>
      </w:pPr>
      <w:r>
        <w:rPr>
          <w:rFonts w:ascii="Times New Roman"/>
          <w:b w:val="false"/>
          <w:i w:val="false"/>
          <w:color w:val="000000"/>
          <w:sz w:val="28"/>
        </w:rPr>
        <w:t>
      1) преобладание сущности над формой, выражающееся в оценке системы управления рисками как механизма измерения и оценки, мониторинга, контроля, и минимизации рисков, а не формально регламентированных процедур и соблюдения требований законодательства Республики Казахстан;</w:t>
      </w:r>
    </w:p>
    <w:bookmarkEnd w:id="29"/>
    <w:bookmarkStart w:name="z37" w:id="30"/>
    <w:p>
      <w:pPr>
        <w:spacing w:after="0"/>
        <w:ind w:left="0"/>
        <w:jc w:val="both"/>
      </w:pPr>
      <w:r>
        <w:rPr>
          <w:rFonts w:ascii="Times New Roman"/>
          <w:b w:val="false"/>
          <w:i w:val="false"/>
          <w:color w:val="000000"/>
          <w:sz w:val="28"/>
        </w:rPr>
        <w:t>
      2)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бизнес модели, масштаба деятельности, видов и сложности операций и в зависимости от принимаемых на себя рисков.".</w:t>
      </w:r>
    </w:p>
    <w:bookmarkEnd w:id="30"/>
    <w:bookmarkStart w:name="z38"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"1. Установить для организаций, осуществляющих деятельность по управлению инвестиционным портфелем, следующие виды пруденциальных нормативов:</w:t>
      </w:r>
    </w:p>
    <w:bookmarkEnd w:id="32"/>
    <w:bookmarkStart w:name="z41" w:id="33"/>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33"/>
    <w:bookmarkStart w:name="z42" w:id="34"/>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bookmarkEnd w:id="34"/>
    <w:bookmarkStart w:name="z43" w:id="35"/>
    <w:p>
      <w:pPr>
        <w:spacing w:after="0"/>
        <w:ind w:left="0"/>
        <w:jc w:val="both"/>
      </w:pPr>
      <w:r>
        <w:rPr>
          <w:rFonts w:ascii="Times New Roman"/>
          <w:b w:val="false"/>
          <w:i w:val="false"/>
          <w:color w:val="000000"/>
          <w:sz w:val="28"/>
        </w:rPr>
        <w:t>
      К2-1 – не менее 1;</w:t>
      </w:r>
    </w:p>
    <w:bookmarkEnd w:id="35"/>
    <w:bookmarkStart w:name="z44" w:id="36"/>
    <w:p>
      <w:pPr>
        <w:spacing w:after="0"/>
        <w:ind w:left="0"/>
        <w:jc w:val="both"/>
      </w:pPr>
      <w:r>
        <w:rPr>
          <w:rFonts w:ascii="Times New Roman"/>
          <w:b w:val="false"/>
          <w:i w:val="false"/>
          <w:color w:val="000000"/>
          <w:sz w:val="28"/>
        </w:rPr>
        <w:t>
      К2-2 – не менее 0,9;</w:t>
      </w:r>
    </w:p>
    <w:bookmarkEnd w:id="36"/>
    <w:bookmarkStart w:name="z45" w:id="37"/>
    <w:p>
      <w:pPr>
        <w:spacing w:after="0"/>
        <w:ind w:left="0"/>
        <w:jc w:val="both"/>
      </w:pPr>
      <w:r>
        <w:rPr>
          <w:rFonts w:ascii="Times New Roman"/>
          <w:b w:val="false"/>
          <w:i w:val="false"/>
          <w:color w:val="000000"/>
          <w:sz w:val="28"/>
        </w:rPr>
        <w:t>
      К2-3 – не менее 0,8;</w:t>
      </w:r>
    </w:p>
    <w:bookmarkEnd w:id="37"/>
    <w:bookmarkStart w:name="z46" w:id="38"/>
    <w:p>
      <w:pPr>
        <w:spacing w:after="0"/>
        <w:ind w:left="0"/>
        <w:jc w:val="both"/>
      </w:pPr>
      <w:r>
        <w:rPr>
          <w:rFonts w:ascii="Times New Roman"/>
          <w:b w:val="false"/>
          <w:i w:val="false"/>
          <w:color w:val="000000"/>
          <w:sz w:val="28"/>
        </w:rPr>
        <w:t>
      К2-4 – не менее 0,5.";</w:t>
      </w:r>
    </w:p>
    <w:bookmarkEnd w:id="38"/>
    <w:bookmarkStart w:name="z4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и развития рынка ценных бумаг, в которые вносятся изменения и дополнение (далее – Перечень);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утвержденную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50" w:id="4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w:t>
      </w:r>
    </w:p>
    <w:bookmarkEnd w:id="41"/>
    <w:bookmarkStart w:name="z53" w:id="42"/>
    <w:p>
      <w:pPr>
        <w:spacing w:after="0"/>
        <w:ind w:left="0"/>
        <w:jc w:val="both"/>
      </w:pPr>
      <w:r>
        <w:rPr>
          <w:rFonts w:ascii="Times New Roman"/>
          <w:b w:val="false"/>
          <w:i w:val="false"/>
          <w:color w:val="000000"/>
          <w:sz w:val="28"/>
        </w:rPr>
        <w:t>
      1) следующие пруденциальные нормативы:</w:t>
      </w:r>
    </w:p>
    <w:bookmarkEnd w:id="42"/>
    <w:bookmarkStart w:name="z54" w:id="43"/>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43"/>
    <w:bookmarkStart w:name="z55" w:id="44"/>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bookmarkEnd w:id="44"/>
    <w:bookmarkStart w:name="z56" w:id="45"/>
    <w:p>
      <w:pPr>
        <w:spacing w:after="0"/>
        <w:ind w:left="0"/>
        <w:jc w:val="both"/>
      </w:pPr>
      <w:r>
        <w:rPr>
          <w:rFonts w:ascii="Times New Roman"/>
          <w:b w:val="false"/>
          <w:i w:val="false"/>
          <w:color w:val="000000"/>
          <w:sz w:val="28"/>
        </w:rPr>
        <w:t>
      К2-1 – не менее 1;</w:t>
      </w:r>
    </w:p>
    <w:bookmarkEnd w:id="45"/>
    <w:bookmarkStart w:name="z57" w:id="46"/>
    <w:p>
      <w:pPr>
        <w:spacing w:after="0"/>
        <w:ind w:left="0"/>
        <w:jc w:val="both"/>
      </w:pPr>
      <w:r>
        <w:rPr>
          <w:rFonts w:ascii="Times New Roman"/>
          <w:b w:val="false"/>
          <w:i w:val="false"/>
          <w:color w:val="000000"/>
          <w:sz w:val="28"/>
        </w:rPr>
        <w:t>
      К2-2 – не менее 0,9;</w:t>
      </w:r>
    </w:p>
    <w:bookmarkEnd w:id="46"/>
    <w:bookmarkStart w:name="z58" w:id="47"/>
    <w:p>
      <w:pPr>
        <w:spacing w:after="0"/>
        <w:ind w:left="0"/>
        <w:jc w:val="both"/>
      </w:pPr>
      <w:r>
        <w:rPr>
          <w:rFonts w:ascii="Times New Roman"/>
          <w:b w:val="false"/>
          <w:i w:val="false"/>
          <w:color w:val="000000"/>
          <w:sz w:val="28"/>
        </w:rPr>
        <w:t>
      К2-3 – не менее 0,8;</w:t>
      </w:r>
    </w:p>
    <w:bookmarkEnd w:id="47"/>
    <w:bookmarkStart w:name="z59" w:id="48"/>
    <w:p>
      <w:pPr>
        <w:spacing w:after="0"/>
        <w:ind w:left="0"/>
        <w:jc w:val="both"/>
      </w:pPr>
      <w:r>
        <w:rPr>
          <w:rFonts w:ascii="Times New Roman"/>
          <w:b w:val="false"/>
          <w:i w:val="false"/>
          <w:color w:val="000000"/>
          <w:sz w:val="28"/>
        </w:rPr>
        <w:t>
      К2-4 – не менее 0,5.";</w:t>
      </w:r>
    </w:p>
    <w:bookmarkEnd w:id="48"/>
    <w:bookmarkStart w:name="z60" w:id="49"/>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bookmarkEnd w:id="49"/>
    <w:bookmarkStart w:name="z61" w:id="50"/>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bookmarkEnd w:id="50"/>
    <w:bookmarkStart w:name="z62" w:id="51"/>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bookmarkEnd w:id="51"/>
    <w:bookmarkStart w:name="z6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"4. Для целей расчета минимального размера собственного капитала и показателей операционного риска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утвержденную указанным постановлением,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70" w:id="54"/>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55"/>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74" w:id="56"/>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56"/>
    <w:bookmarkStart w:name="z75" w:id="57"/>
    <w:p>
      <w:pPr>
        <w:spacing w:after="0"/>
        <w:ind w:left="0"/>
        <w:jc w:val="left"/>
      </w:pPr>
      <w:r>
        <w:rPr>
          <w:rFonts w:ascii="Times New Roman"/>
          <w:b/>
          <w:i w:val="false"/>
          <w:color w:val="000000"/>
        </w:rPr>
        <w:t xml:space="preserve"> Глава 1. Общие положения</w:t>
      </w:r>
    </w:p>
    <w:bookmarkEnd w:id="57"/>
    <w:bookmarkStart w:name="z76" w:id="58"/>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58"/>
    <w:bookmarkStart w:name="z77" w:id="59"/>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59"/>
    <w:bookmarkStart w:name="z78" w:id="60"/>
    <w:p>
      <w:pPr>
        <w:spacing w:after="0"/>
        <w:ind w:left="0"/>
        <w:jc w:val="both"/>
      </w:pPr>
      <w:r>
        <w:rPr>
          <w:rFonts w:ascii="Times New Roman"/>
          <w:b w:val="false"/>
          <w:i w:val="false"/>
          <w:color w:val="000000"/>
          <w:sz w:val="28"/>
        </w:rPr>
        <w:t>
      2. Управляющий инвестиционным портфелем, осуществляющий в соответствии с договором, заключенным с единым накопительным пенсионным фондом, доверительное управление пенсионными активами, рассчитывает коэффициент достаточности собственного капитала по формуле:</w:t>
      </w:r>
    </w:p>
    <w:bookmarkEnd w:id="60"/>
    <w:bookmarkStart w:name="z79" w:id="61"/>
    <w:p>
      <w:pPr>
        <w:spacing w:after="0"/>
        <w:ind w:left="0"/>
        <w:jc w:val="both"/>
      </w:pPr>
      <w:r>
        <w:rPr>
          <w:rFonts w:ascii="Times New Roman"/>
          <w:b w:val="false"/>
          <w:i w:val="false"/>
          <w:color w:val="000000"/>
          <w:sz w:val="28"/>
        </w:rPr>
        <w:t>
      К = (ВЛА+ЛА - О) / МРСК, где:</w:t>
      </w:r>
    </w:p>
    <w:bookmarkEnd w:id="61"/>
    <w:bookmarkStart w:name="z80" w:id="62"/>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7 Методики;</w:t>
      </w:r>
    </w:p>
    <w:bookmarkEnd w:id="62"/>
    <w:bookmarkStart w:name="z81" w:id="63"/>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7 Методики;</w:t>
      </w:r>
    </w:p>
    <w:bookmarkEnd w:id="63"/>
    <w:bookmarkStart w:name="z82" w:id="64"/>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64"/>
    <w:bookmarkStart w:name="z83" w:id="65"/>
    <w:p>
      <w:pPr>
        <w:spacing w:after="0"/>
        <w:ind w:left="0"/>
        <w:jc w:val="both"/>
      </w:pP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пунктом 6 Методики. </w:t>
      </w:r>
    </w:p>
    <w:bookmarkEnd w:id="65"/>
    <w:bookmarkStart w:name="z84" w:id="66"/>
    <w:p>
      <w:pPr>
        <w:spacing w:after="0"/>
        <w:ind w:left="0"/>
        <w:jc w:val="both"/>
      </w:pPr>
      <w:r>
        <w:rPr>
          <w:rFonts w:ascii="Times New Roman"/>
          <w:b w:val="false"/>
          <w:i w:val="false"/>
          <w:color w:val="000000"/>
          <w:sz w:val="28"/>
        </w:rPr>
        <w:t>
      3.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66"/>
    <w:bookmarkStart w:name="z85" w:id="67"/>
    <w:p>
      <w:pPr>
        <w:spacing w:after="0"/>
        <w:ind w:left="0"/>
        <w:jc w:val="both"/>
      </w:pPr>
      <w:r>
        <w:rPr>
          <w:rFonts w:ascii="Times New Roman"/>
          <w:b w:val="false"/>
          <w:i w:val="false"/>
          <w:color w:val="000000"/>
          <w:sz w:val="28"/>
        </w:rPr>
        <w:t>
      4. Управляющий инвестиционным портфелем рассчитывает коэффициент достаточности собственного капитала по формуле:</w:t>
      </w:r>
    </w:p>
    <w:bookmarkEnd w:id="67"/>
    <w:bookmarkStart w:name="z86" w:id="68"/>
    <w:p>
      <w:pPr>
        <w:spacing w:after="0"/>
        <w:ind w:left="0"/>
        <w:jc w:val="both"/>
      </w:pPr>
      <w:r>
        <w:rPr>
          <w:rFonts w:ascii="Times New Roman"/>
          <w:b w:val="false"/>
          <w:i w:val="false"/>
          <w:color w:val="000000"/>
          <w:sz w:val="28"/>
        </w:rPr>
        <w:t>
      К = (ВЛА+ЛА - О) / (МРСК+Ор_УИП), где:</w:t>
      </w:r>
    </w:p>
    <w:bookmarkEnd w:id="68"/>
    <w:bookmarkStart w:name="z87" w:id="69"/>
    <w:p>
      <w:pPr>
        <w:spacing w:after="0"/>
        <w:ind w:left="0"/>
        <w:jc w:val="both"/>
      </w:pPr>
      <w:r>
        <w:rPr>
          <w:rFonts w:ascii="Times New Roman"/>
          <w:b w:val="false"/>
          <w:i w:val="false"/>
          <w:color w:val="000000"/>
          <w:sz w:val="28"/>
        </w:rPr>
        <w:t>
      ВЛА - высоколиквидные активы управляющего инвестиционным портфелем, имеющиеся на дату расчета, которые признаются высоколиквидными в соответствии с пунктом 7 Методики;</w:t>
      </w:r>
    </w:p>
    <w:bookmarkEnd w:id="69"/>
    <w:bookmarkStart w:name="z88" w:id="70"/>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7 Методики;</w:t>
      </w:r>
    </w:p>
    <w:bookmarkEnd w:id="70"/>
    <w:bookmarkStart w:name="z89" w:id="71"/>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71"/>
    <w:bookmarkStart w:name="z90" w:id="72"/>
    <w:p>
      <w:pPr>
        <w:spacing w:after="0"/>
        <w:ind w:left="0"/>
        <w:jc w:val="both"/>
      </w:pPr>
      <w:r>
        <w:rPr>
          <w:rFonts w:ascii="Times New Roman"/>
          <w:b w:val="false"/>
          <w:i w:val="false"/>
          <w:color w:val="000000"/>
          <w:sz w:val="28"/>
        </w:rPr>
        <w:t>
      МРСК - минимальный размер собственного капитала управляющего инвестиционным портфелем, принимаемый в расчет достаточности собственного капитала, составляющий 50 000 (пятьдесят тысяч) МРП;</w:t>
      </w:r>
    </w:p>
    <w:bookmarkEnd w:id="72"/>
    <w:bookmarkStart w:name="z91" w:id="73"/>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73"/>
    <w:bookmarkStart w:name="z92" w:id="74"/>
    <w:p>
      <w:pPr>
        <w:spacing w:after="0"/>
        <w:ind w:left="0"/>
        <w:jc w:val="both"/>
      </w:pPr>
      <w:r>
        <w:rPr>
          <w:rFonts w:ascii="Times New Roman"/>
          <w:b w:val="false"/>
          <w:i w:val="false"/>
          <w:color w:val="000000"/>
          <w:sz w:val="28"/>
        </w:rPr>
        <w:t>
      5. Минимальное значение коэффициентов срочной ликвидности управляющего инвестиционным портфелем устанавливается в размере:</w:t>
      </w:r>
    </w:p>
    <w:bookmarkEnd w:id="74"/>
    <w:bookmarkStart w:name="z93" w:id="75"/>
    <w:p>
      <w:pPr>
        <w:spacing w:after="0"/>
        <w:ind w:left="0"/>
        <w:jc w:val="both"/>
      </w:pPr>
      <w:r>
        <w:rPr>
          <w:rFonts w:ascii="Times New Roman"/>
          <w:b w:val="false"/>
          <w:i w:val="false"/>
          <w:color w:val="000000"/>
          <w:sz w:val="28"/>
        </w:rPr>
        <w:t>
      К2-1 – не менее 1;</w:t>
      </w:r>
    </w:p>
    <w:bookmarkEnd w:id="75"/>
    <w:bookmarkStart w:name="z94" w:id="76"/>
    <w:p>
      <w:pPr>
        <w:spacing w:after="0"/>
        <w:ind w:left="0"/>
        <w:jc w:val="both"/>
      </w:pPr>
      <w:r>
        <w:rPr>
          <w:rFonts w:ascii="Times New Roman"/>
          <w:b w:val="false"/>
          <w:i w:val="false"/>
          <w:color w:val="000000"/>
          <w:sz w:val="28"/>
        </w:rPr>
        <w:t>
      К2-2 – не менее 0,9;</w:t>
      </w:r>
    </w:p>
    <w:bookmarkEnd w:id="76"/>
    <w:bookmarkStart w:name="z95" w:id="77"/>
    <w:p>
      <w:pPr>
        <w:spacing w:after="0"/>
        <w:ind w:left="0"/>
        <w:jc w:val="both"/>
      </w:pPr>
      <w:r>
        <w:rPr>
          <w:rFonts w:ascii="Times New Roman"/>
          <w:b w:val="false"/>
          <w:i w:val="false"/>
          <w:color w:val="000000"/>
          <w:sz w:val="28"/>
        </w:rPr>
        <w:t>
      К2-3 – не менее 0,8;</w:t>
      </w:r>
    </w:p>
    <w:bookmarkEnd w:id="77"/>
    <w:bookmarkStart w:name="z96" w:id="78"/>
    <w:p>
      <w:pPr>
        <w:spacing w:after="0"/>
        <w:ind w:left="0"/>
        <w:jc w:val="both"/>
      </w:pPr>
      <w:r>
        <w:rPr>
          <w:rFonts w:ascii="Times New Roman"/>
          <w:b w:val="false"/>
          <w:i w:val="false"/>
          <w:color w:val="000000"/>
          <w:sz w:val="28"/>
        </w:rPr>
        <w:t xml:space="preserve">
      К2-4 – не менее 0,5. </w:t>
      </w:r>
    </w:p>
    <w:bookmarkEnd w:id="78"/>
    <w:bookmarkStart w:name="z97" w:id="79"/>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до 7 (семи) дней включительно. Если размер срочных обязательств с оставшимся сроком до погашения до 7 (семи) дней составляет менее 10% от высоколиквидных активов, то коэффициент срочной ликвидности К2-1 не рассчитывается и считается исполненным.</w:t>
      </w:r>
    </w:p>
    <w:bookmarkEnd w:id="79"/>
    <w:bookmarkStart w:name="z98" w:id="80"/>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30 (тридцати) дней включительно. Если размер срочных обязательств с оставшимся сроком до погашения до 30 (тридцати) дней составляет менее 10% от ликвидных активов, то коэффициент срочной ликвидности К2-2 не рассчитывается и считается исполненным.</w:t>
      </w:r>
    </w:p>
    <w:bookmarkEnd w:id="80"/>
    <w:bookmarkStart w:name="z99" w:id="81"/>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90 (девяносто) дней включительно. Если размер срочных обязательств с оставшимся сроком до погашения до 90 (девяносто) дней составляет менее 10% от ликвидных активов, то коэффициент срочной ликвидности К2-3 не рассчитывается и считается исполненным.</w:t>
      </w:r>
    </w:p>
    <w:bookmarkEnd w:id="81"/>
    <w:bookmarkStart w:name="z100" w:id="82"/>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ликвидных активов, включая высоколиквидные активы, к размеру совокупных обязательств. Если размер совокупных обязательств составляет менее 10% от ликвидных активов, то коэффициент срочной ликвидности К2-4 не рассчитывается и считается исполненным.</w:t>
      </w:r>
    </w:p>
    <w:bookmarkEnd w:id="82"/>
    <w:bookmarkStart w:name="z101" w:id="83"/>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7 Методики.</w:t>
      </w:r>
    </w:p>
    <w:bookmarkEnd w:id="83"/>
    <w:bookmarkStart w:name="z102" w:id="84"/>
    <w:p>
      <w:pPr>
        <w:spacing w:after="0"/>
        <w:ind w:left="0"/>
        <w:jc w:val="both"/>
      </w:pPr>
      <w:r>
        <w:rPr>
          <w:rFonts w:ascii="Times New Roman"/>
          <w:b w:val="false"/>
          <w:i w:val="false"/>
          <w:color w:val="000000"/>
          <w:sz w:val="28"/>
        </w:rPr>
        <w:t>
      6. Если:</w:t>
      </w:r>
    </w:p>
    <w:bookmarkEnd w:id="84"/>
    <w:bookmarkStart w:name="z103" w:id="85"/>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менее 100 000 000 000 (ста миллиардов) тенге, то МРСК равен 1 029 000 (одному миллиону двадцати девяти тысячам) МРП;</w:t>
      </w:r>
    </w:p>
    <w:bookmarkEnd w:id="85"/>
    <w:bookmarkStart w:name="z104" w:id="86"/>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в доверительное управление.</w:t>
      </w:r>
    </w:p>
    <w:bookmarkEnd w:id="86"/>
    <w:bookmarkStart w:name="z105" w:id="87"/>
    <w:p>
      <w:pPr>
        <w:spacing w:after="0"/>
        <w:ind w:left="0"/>
        <w:jc w:val="both"/>
      </w:pPr>
      <w:r>
        <w:rPr>
          <w:rFonts w:ascii="Times New Roman"/>
          <w:b w:val="false"/>
          <w:i w:val="false"/>
          <w:color w:val="000000"/>
          <w:sz w:val="28"/>
        </w:rPr>
        <w:t>
      7.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 2.1, 2.3, 2.4, 2.8, 2.10, 2.11, 2.14, 3.1, 3.2, 3.5, 4.4, 5.1.</w:t>
      </w:r>
    </w:p>
    <w:bookmarkEnd w:id="87"/>
    <w:bookmarkStart w:name="z106" w:id="88"/>
    <w:p>
      <w:pPr>
        <w:spacing w:after="0"/>
        <w:ind w:left="0"/>
        <w:jc w:val="both"/>
      </w:pPr>
      <w:r>
        <w:rPr>
          <w:rFonts w:ascii="Times New Roman"/>
          <w:b w:val="false"/>
          <w:i w:val="false"/>
          <w:color w:val="000000"/>
          <w:sz w:val="28"/>
        </w:rPr>
        <w:t xml:space="preserve">
      В качестве ликвидных активов управляющего инвестиционным портфелем признаются активы, указанные в Таблице расчета значений пруденциальных нормативов управляющего инвестиционным портфелем согласно приложению к Правилам, в соответствующих объемах за исключением строк, указанных в части первой настоящего пункта. </w:t>
      </w:r>
    </w:p>
    <w:bookmarkEnd w:id="88"/>
    <w:bookmarkStart w:name="z107" w:id="89"/>
    <w:p>
      <w:pPr>
        <w:spacing w:after="0"/>
        <w:ind w:left="0"/>
        <w:jc w:val="both"/>
      </w:pPr>
      <w:r>
        <w:rPr>
          <w:rFonts w:ascii="Times New Roman"/>
          <w:b w:val="false"/>
          <w:i w:val="false"/>
          <w:color w:val="000000"/>
          <w:sz w:val="28"/>
        </w:rPr>
        <w:t>
      8. В расчет высоколиквидных и ликвидных активов, предусмотренных пунктом 7 Методики, не включаются:</w:t>
      </w:r>
    </w:p>
    <w:bookmarkEnd w:id="89"/>
    <w:bookmarkStart w:name="z108" w:id="90"/>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90"/>
    <w:bookmarkStart w:name="z109" w:id="91"/>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91"/>
    <w:bookmarkStart w:name="z110" w:id="92"/>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92"/>
    <w:bookmarkStart w:name="z111" w:id="93"/>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114" w:id="94"/>
    <w:p>
      <w:pPr>
        <w:spacing w:after="0"/>
        <w:ind w:left="0"/>
        <w:jc w:val="left"/>
      </w:pPr>
      <w:r>
        <w:rPr>
          <w:rFonts w:ascii="Times New Roman"/>
          <w:b/>
          <w:i w:val="false"/>
          <w:color w:val="000000"/>
        </w:rPr>
        <w:t xml:space="preserve"> 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и развития рынка ценных бумаг,</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119" w:id="96"/>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96"/>
    <w:bookmarkStart w:name="z120" w:id="97"/>
    <w:p>
      <w:pPr>
        <w:spacing w:after="0"/>
        <w:ind w:left="0"/>
        <w:jc w:val="left"/>
      </w:pPr>
      <w:r>
        <w:rPr>
          <w:rFonts w:ascii="Times New Roman"/>
          <w:b/>
          <w:i w:val="false"/>
          <w:color w:val="000000"/>
        </w:rPr>
        <w:t xml:space="preserve"> Глава 1. Общие положения</w:t>
      </w:r>
    </w:p>
    <w:bookmarkEnd w:id="97"/>
    <w:bookmarkStart w:name="z121" w:id="98"/>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98"/>
    <w:bookmarkStart w:name="z122" w:id="99"/>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99"/>
    <w:bookmarkStart w:name="z123" w:id="100"/>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00"/>
    <w:bookmarkStart w:name="z124" w:id="101"/>
    <w:p>
      <w:pPr>
        <w:spacing w:after="0"/>
        <w:ind w:left="0"/>
        <w:jc w:val="both"/>
      </w:pPr>
      <w:r>
        <w:rPr>
          <w:rFonts w:ascii="Times New Roman"/>
          <w:b w:val="false"/>
          <w:i w:val="false"/>
          <w:color w:val="000000"/>
          <w:sz w:val="28"/>
        </w:rPr>
        <w:t>
      3. Коэффициент достаточности собственного капитала брокера и (или) дилера рассчитывается по формуле:</w:t>
      </w:r>
    </w:p>
    <w:bookmarkEnd w:id="101"/>
    <w:bookmarkStart w:name="z125" w:id="102"/>
    <w:p>
      <w:pPr>
        <w:spacing w:after="0"/>
        <w:ind w:left="0"/>
        <w:jc w:val="both"/>
      </w:pPr>
      <w:r>
        <w:rPr>
          <w:rFonts w:ascii="Times New Roman"/>
          <w:b w:val="false"/>
          <w:i w:val="false"/>
          <w:color w:val="000000"/>
          <w:sz w:val="28"/>
        </w:rPr>
        <w:t>
      К = (ВЛА+ЛА - О)/(МРСК+Ор_БД), где:</w:t>
      </w:r>
    </w:p>
    <w:bookmarkEnd w:id="102"/>
    <w:bookmarkStart w:name="z126" w:id="103"/>
    <w:p>
      <w:pPr>
        <w:spacing w:after="0"/>
        <w:ind w:left="0"/>
        <w:jc w:val="both"/>
      </w:pPr>
      <w:r>
        <w:rPr>
          <w:rFonts w:ascii="Times New Roman"/>
          <w:b w:val="false"/>
          <w:i w:val="false"/>
          <w:color w:val="000000"/>
          <w:sz w:val="28"/>
        </w:rPr>
        <w:t>
      ВЛА - высоколиквидные активы брокера и (или) дилера, имеющиеся на дату расчета, которые признаются высоколиквидными в соответствии с пунктом 6 Методики;</w:t>
      </w:r>
    </w:p>
    <w:bookmarkEnd w:id="103"/>
    <w:bookmarkStart w:name="z127" w:id="104"/>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6 Методики;</w:t>
      </w:r>
    </w:p>
    <w:bookmarkEnd w:id="104"/>
    <w:bookmarkStart w:name="z128" w:id="105"/>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05"/>
    <w:bookmarkStart w:name="z129" w:id="106"/>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106"/>
    <w:bookmarkStart w:name="z130" w:id="107"/>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50 000 (пятьдесят тысяч) МРП;</w:t>
      </w:r>
    </w:p>
    <w:bookmarkEnd w:id="107"/>
    <w:bookmarkStart w:name="z131" w:id="108"/>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10 000 (десять тысяч) МРП;</w:t>
      </w:r>
    </w:p>
    <w:bookmarkEnd w:id="108"/>
    <w:bookmarkStart w:name="z132" w:id="109"/>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09"/>
    <w:bookmarkStart w:name="z133" w:id="110"/>
    <w:p>
      <w:pPr>
        <w:spacing w:after="0"/>
        <w:ind w:left="0"/>
        <w:jc w:val="both"/>
      </w:pPr>
      <w:r>
        <w:rPr>
          <w:rFonts w:ascii="Times New Roman"/>
          <w:b w:val="false"/>
          <w:i w:val="false"/>
          <w:color w:val="000000"/>
          <w:sz w:val="28"/>
        </w:rPr>
        <w:t>
      4. Операционный риск, связанный с брокерской и (или) дилерской деятельностью, рассчитывается как:</w:t>
      </w:r>
    </w:p>
    <w:bookmarkEnd w:id="110"/>
    <w:bookmarkStart w:name="z134" w:id="111"/>
    <w:p>
      <w:pPr>
        <w:spacing w:after="0"/>
        <w:ind w:left="0"/>
        <w:jc w:val="both"/>
      </w:pPr>
      <w:r>
        <w:rPr>
          <w:rFonts w:ascii="Times New Roman"/>
          <w:b w:val="false"/>
          <w:i w:val="false"/>
          <w:color w:val="000000"/>
          <w:sz w:val="28"/>
        </w:rPr>
        <w:t>
      Ор_БД = абсолютный показатель+</w:t>
      </w:r>
      <w:r>
        <w:rPr>
          <w:rFonts w:ascii="Times New Roman"/>
          <w:b w:val="false"/>
          <w:i w:val="false"/>
          <w:color w:val="000000"/>
          <w:sz w:val="28"/>
        </w:rPr>
        <w:t>a</w:t>
      </w:r>
      <w:r>
        <w:rPr>
          <w:rFonts w:ascii="Times New Roman"/>
          <w:b w:val="false"/>
          <w:i w:val="false"/>
          <w:color w:val="000000"/>
          <w:sz w:val="28"/>
        </w:rPr>
        <w:t>*относительный показатель, где:</w:t>
      </w:r>
    </w:p>
    <w:bookmarkEnd w:id="111"/>
    <w:bookmarkStart w:name="z135" w:id="112"/>
    <w:p>
      <w:pPr>
        <w:spacing w:after="0"/>
        <w:ind w:left="0"/>
        <w:jc w:val="both"/>
      </w:pPr>
      <w:r>
        <w:rPr>
          <w:rFonts w:ascii="Times New Roman"/>
          <w:b w:val="false"/>
          <w:i w:val="false"/>
          <w:color w:val="000000"/>
          <w:sz w:val="28"/>
        </w:rPr>
        <w:t>
      абсолютный показатель равен 15 000 (пятнадцати тысячам) МРП;</w:t>
      </w:r>
    </w:p>
    <w:bookmarkEnd w:id="112"/>
    <w:bookmarkStart w:name="z136" w:id="113"/>
    <w:p>
      <w:pPr>
        <w:spacing w:after="0"/>
        <w:ind w:left="0"/>
        <w:jc w:val="both"/>
      </w:pPr>
      <w:r>
        <w:rPr>
          <w:rFonts w:ascii="Times New Roman"/>
          <w:b w:val="false"/>
          <w:i w:val="false"/>
          <w:color w:val="000000"/>
          <w:sz w:val="28"/>
        </w:rPr>
        <w:t>
      относительный показатель рассчитывается как 15 (пятнадцати) кратный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bookmarkEnd w:id="113"/>
    <w:bookmarkStart w:name="z137"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операционного риска установлен в зависимости от среднегодового объема сделок, заключенных брокерами и (или) дилерами, за последние 36 (тридцать шесть) месяцев, предшествующих расчетной дате, и определяется в соответствии с таблицей: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(3 года)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млрд. до 3000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млрд. до 5000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млрд. до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8" w:id="115"/>
    <w:p>
      <w:pPr>
        <w:spacing w:after="0"/>
        <w:ind w:left="0"/>
        <w:jc w:val="both"/>
      </w:pPr>
      <w:r>
        <w:rPr>
          <w:rFonts w:ascii="Times New Roman"/>
          <w:b w:val="false"/>
          <w:i w:val="false"/>
          <w:color w:val="000000"/>
          <w:sz w:val="28"/>
        </w:rPr>
        <w:t>
      При этом если значение относительного показателя менее 3 000 (трех тысяч) МРП, то значение относительного показателя равно 3 000 (трем тысячам) МРП.</w:t>
      </w:r>
    </w:p>
    <w:bookmarkEnd w:id="115"/>
    <w:bookmarkStart w:name="z139" w:id="116"/>
    <w:p>
      <w:pPr>
        <w:spacing w:after="0"/>
        <w:ind w:left="0"/>
        <w:jc w:val="both"/>
      </w:pPr>
      <w:r>
        <w:rPr>
          <w:rFonts w:ascii="Times New Roman"/>
          <w:b w:val="false"/>
          <w:i w:val="false"/>
          <w:color w:val="000000"/>
          <w:sz w:val="28"/>
        </w:rPr>
        <w:t xml:space="preserve">
      При отсутствии заключаемых сделок </w:t>
      </w:r>
      <w:r>
        <w:rPr>
          <w:rFonts w:ascii="Times New Roman"/>
          <w:b w:val="false"/>
          <w:i w:val="false"/>
          <w:color w:val="000000"/>
          <w:sz w:val="28"/>
        </w:rPr>
        <w:t>a</w:t>
      </w:r>
      <w:r>
        <w:rPr>
          <w:rFonts w:ascii="Times New Roman"/>
          <w:b w:val="false"/>
          <w:i w:val="false"/>
          <w:color w:val="000000"/>
          <w:sz w:val="28"/>
        </w:rPr>
        <w:t xml:space="preserve"> равно 0 (ноль).</w:t>
      </w:r>
    </w:p>
    <w:bookmarkEnd w:id="116"/>
    <w:bookmarkStart w:name="z140" w:id="117"/>
    <w:p>
      <w:pPr>
        <w:spacing w:after="0"/>
        <w:ind w:left="0"/>
        <w:jc w:val="both"/>
      </w:pPr>
      <w:r>
        <w:rPr>
          <w:rFonts w:ascii="Times New Roman"/>
          <w:b w:val="false"/>
          <w:i w:val="false"/>
          <w:color w:val="000000"/>
          <w:sz w:val="28"/>
        </w:rPr>
        <w:t xml:space="preserve">
      При страховании ответственности перед клиентами, включающем случаи,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53-2 Закона о рынке ценных бумаг, брокер и (или) дилер без права ведения счетов клиентов снижает размер абсолютного показателя на размер страховой суммы, но не более 50% от размера абсолютного показателя.</w:t>
      </w:r>
    </w:p>
    <w:bookmarkEnd w:id="117"/>
    <w:bookmarkStart w:name="z141" w:id="118"/>
    <w:p>
      <w:pPr>
        <w:spacing w:after="0"/>
        <w:ind w:left="0"/>
        <w:jc w:val="both"/>
      </w:pPr>
      <w:r>
        <w:rPr>
          <w:rFonts w:ascii="Times New Roman"/>
          <w:b w:val="false"/>
          <w:i w:val="false"/>
          <w:color w:val="000000"/>
          <w:sz w:val="28"/>
        </w:rPr>
        <w:t>
      5. Минимальное значение коэффициентов срочной ликвидности брокера и (или) дилера устанавливается в размере:</w:t>
      </w:r>
    </w:p>
    <w:bookmarkEnd w:id="118"/>
    <w:bookmarkStart w:name="z142" w:id="119"/>
    <w:p>
      <w:pPr>
        <w:spacing w:after="0"/>
        <w:ind w:left="0"/>
        <w:jc w:val="both"/>
      </w:pPr>
      <w:r>
        <w:rPr>
          <w:rFonts w:ascii="Times New Roman"/>
          <w:b w:val="false"/>
          <w:i w:val="false"/>
          <w:color w:val="000000"/>
          <w:sz w:val="28"/>
        </w:rPr>
        <w:t>
      К2-1 – не менее 1;</w:t>
      </w:r>
    </w:p>
    <w:bookmarkEnd w:id="119"/>
    <w:bookmarkStart w:name="z143" w:id="120"/>
    <w:p>
      <w:pPr>
        <w:spacing w:after="0"/>
        <w:ind w:left="0"/>
        <w:jc w:val="both"/>
      </w:pPr>
      <w:r>
        <w:rPr>
          <w:rFonts w:ascii="Times New Roman"/>
          <w:b w:val="false"/>
          <w:i w:val="false"/>
          <w:color w:val="000000"/>
          <w:sz w:val="28"/>
        </w:rPr>
        <w:t>
      К2-2 – не менее 0,9;</w:t>
      </w:r>
    </w:p>
    <w:bookmarkEnd w:id="120"/>
    <w:bookmarkStart w:name="z144" w:id="121"/>
    <w:p>
      <w:pPr>
        <w:spacing w:after="0"/>
        <w:ind w:left="0"/>
        <w:jc w:val="both"/>
      </w:pPr>
      <w:r>
        <w:rPr>
          <w:rFonts w:ascii="Times New Roman"/>
          <w:b w:val="false"/>
          <w:i w:val="false"/>
          <w:color w:val="000000"/>
          <w:sz w:val="28"/>
        </w:rPr>
        <w:t>
      К2-3 – не менее 0,8;</w:t>
      </w:r>
    </w:p>
    <w:bookmarkEnd w:id="121"/>
    <w:bookmarkStart w:name="z145" w:id="122"/>
    <w:p>
      <w:pPr>
        <w:spacing w:after="0"/>
        <w:ind w:left="0"/>
        <w:jc w:val="both"/>
      </w:pPr>
      <w:r>
        <w:rPr>
          <w:rFonts w:ascii="Times New Roman"/>
          <w:b w:val="false"/>
          <w:i w:val="false"/>
          <w:color w:val="000000"/>
          <w:sz w:val="28"/>
        </w:rPr>
        <w:t xml:space="preserve">
      К2-4 – не менее 0,5. </w:t>
      </w:r>
    </w:p>
    <w:bookmarkEnd w:id="122"/>
    <w:bookmarkStart w:name="z146" w:id="123"/>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до 7 (семи) дней включительно. Если размер срочных обязательств с оставшимся сроком до погашения до 7 (семи) дней составляет менее 10% от высоколиквидных активов, то коэффициент срочной ликвидности К2-1 не рассчитывается и считается исполненным.</w:t>
      </w:r>
    </w:p>
    <w:bookmarkEnd w:id="123"/>
    <w:bookmarkStart w:name="z147" w:id="124"/>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30 (тридцати) дней включительно. Если размер срочных обязательств с оставшимся сроком до погашения до 30 (тридцати) дней составляет менее 10% от ликвидных активов, то коэффициент срочной ликвидности К2-2 не рассчитывается и считается исполненным.</w:t>
      </w:r>
    </w:p>
    <w:bookmarkEnd w:id="124"/>
    <w:bookmarkStart w:name="z148" w:id="125"/>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90 (девяносто) дней включительно. Если размер срочных обязательств с оставшимся сроком до погашения до 90 (девяносто) дней составляет менее 10% от ликвидных активов, то коэффициент срочной ликвидности К2-3 не рассчитывается и считается исполненным.</w:t>
      </w:r>
    </w:p>
    <w:bookmarkEnd w:id="125"/>
    <w:bookmarkStart w:name="z149" w:id="126"/>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ликвидных активов, включая высоколиквидные активы, к размеру совокупных обязательств. Если размер совокупных обязательств составляет менее 10% от ликвидных активов, то коэффициент срочной ликвидности К2-4 не рассчитывается и считается исполненным.</w:t>
      </w:r>
    </w:p>
    <w:bookmarkEnd w:id="126"/>
    <w:bookmarkStart w:name="z150" w:id="127"/>
    <w:p>
      <w:pPr>
        <w:spacing w:after="0"/>
        <w:ind w:left="0"/>
        <w:jc w:val="both"/>
      </w:pPr>
      <w:r>
        <w:rPr>
          <w:rFonts w:ascii="Times New Roman"/>
          <w:b w:val="false"/>
          <w:i w:val="false"/>
          <w:color w:val="000000"/>
          <w:sz w:val="28"/>
        </w:rPr>
        <w:t>
      Высоколиквидные и ликвидные активы брокера и (или) дилера, имеющиеся на дату расчета, признаются таковыми в соответствии с пунктом 6 Методики.</w:t>
      </w:r>
    </w:p>
    <w:bookmarkEnd w:id="127"/>
    <w:bookmarkStart w:name="z151" w:id="128"/>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 2.1, 2.3, 2.4, 2.8, 2.10, 2.11, 2.14, 3.1, 3.2, 3.5, 4.4, 5.1. </w:t>
      </w:r>
    </w:p>
    <w:bookmarkEnd w:id="128"/>
    <w:bookmarkStart w:name="z152" w:id="129"/>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за исключением строк, указанных в части первой настоящего пункта. </w:t>
      </w:r>
    </w:p>
    <w:bookmarkEnd w:id="129"/>
    <w:bookmarkStart w:name="z153" w:id="130"/>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30"/>
    <w:bookmarkStart w:name="z154" w:id="131"/>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131"/>
    <w:bookmarkStart w:name="z155" w:id="132"/>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32"/>
    <w:bookmarkStart w:name="z156" w:id="133"/>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33"/>
    <w:bookmarkStart w:name="z157" w:id="134"/>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34"/>
    <w:bookmarkStart w:name="z158" w:id="135"/>
    <w:p>
      <w:pPr>
        <w:spacing w:after="0"/>
        <w:ind w:left="0"/>
        <w:jc w:val="left"/>
      </w:pPr>
      <w:r>
        <w:rPr>
          <w:rFonts w:ascii="Times New Roman"/>
          <w:b/>
          <w:i w:val="false"/>
          <w:color w:val="000000"/>
        </w:rPr>
        <w:t xml:space="preserve"> Глава 3. Методика расчета значений пруденциальных нормативов добровольных накопительных пенсионных фондов, совмещающих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bookmarkEnd w:id="135"/>
    <w:bookmarkStart w:name="z159" w:id="136"/>
    <w:p>
      <w:pPr>
        <w:spacing w:after="0"/>
        <w:ind w:left="0"/>
        <w:jc w:val="both"/>
      </w:pPr>
      <w:r>
        <w:rPr>
          <w:rFonts w:ascii="Times New Roman"/>
          <w:b w:val="false"/>
          <w:i w:val="false"/>
          <w:color w:val="000000"/>
          <w:sz w:val="28"/>
        </w:rPr>
        <w:t>
      8. Коэффициент достаточности собственного капитала ДНПФ рассчитывается по формуле:</w:t>
      </w:r>
    </w:p>
    <w:bookmarkEnd w:id="136"/>
    <w:bookmarkStart w:name="z160" w:id="137"/>
    <w:p>
      <w:pPr>
        <w:spacing w:after="0"/>
        <w:ind w:left="0"/>
        <w:jc w:val="both"/>
      </w:pPr>
      <w:r>
        <w:rPr>
          <w:rFonts w:ascii="Times New Roman"/>
          <w:b w:val="false"/>
          <w:i w:val="false"/>
          <w:color w:val="000000"/>
          <w:sz w:val="28"/>
        </w:rPr>
        <w:t>
      К = (ЛА - О) / МРСК, где:</w:t>
      </w:r>
    </w:p>
    <w:bookmarkEnd w:id="137"/>
    <w:bookmarkStart w:name="z161" w:id="138"/>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11 Методики;</w:t>
      </w:r>
    </w:p>
    <w:bookmarkEnd w:id="138"/>
    <w:bookmarkStart w:name="z162" w:id="139"/>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39"/>
    <w:bookmarkStart w:name="z163" w:id="140"/>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10 Методики.</w:t>
      </w:r>
    </w:p>
    <w:bookmarkEnd w:id="140"/>
    <w:bookmarkStart w:name="z164" w:id="141"/>
    <w:p>
      <w:pPr>
        <w:spacing w:after="0"/>
        <w:ind w:left="0"/>
        <w:jc w:val="both"/>
      </w:pPr>
      <w:r>
        <w:rPr>
          <w:rFonts w:ascii="Times New Roman"/>
          <w:b w:val="false"/>
          <w:i w:val="false"/>
          <w:color w:val="000000"/>
          <w:sz w:val="28"/>
        </w:rPr>
        <w:t>
      9. Коэффициент ликвидности ДНПФ рассчитывается по формуле:</w:t>
      </w:r>
    </w:p>
    <w:bookmarkEnd w:id="141"/>
    <w:bookmarkStart w:name="z165" w:id="142"/>
    <w:p>
      <w:pPr>
        <w:spacing w:after="0"/>
        <w:ind w:left="0"/>
        <w:jc w:val="both"/>
      </w:pPr>
      <w:r>
        <w:rPr>
          <w:rFonts w:ascii="Times New Roman"/>
          <w:b w:val="false"/>
          <w:i w:val="false"/>
          <w:color w:val="000000"/>
          <w:sz w:val="28"/>
        </w:rPr>
        <w:t>
      Кл = ЛА/O, где:</w:t>
      </w:r>
    </w:p>
    <w:bookmarkEnd w:id="142"/>
    <w:bookmarkStart w:name="z166" w:id="143"/>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11 Методики;</w:t>
      </w:r>
    </w:p>
    <w:bookmarkEnd w:id="143"/>
    <w:bookmarkStart w:name="z167" w:id="144"/>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44"/>
    <w:bookmarkStart w:name="z168" w:id="145"/>
    <w:p>
      <w:pPr>
        <w:spacing w:after="0"/>
        <w:ind w:left="0"/>
        <w:jc w:val="both"/>
      </w:pPr>
      <w:r>
        <w:rPr>
          <w:rFonts w:ascii="Times New Roman"/>
          <w:b w:val="false"/>
          <w:i w:val="false"/>
          <w:color w:val="000000"/>
          <w:sz w:val="28"/>
        </w:rPr>
        <w:t>
      10. Если:</w:t>
      </w:r>
    </w:p>
    <w:bookmarkEnd w:id="145"/>
    <w:bookmarkStart w:name="z169" w:id="146"/>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146"/>
    <w:bookmarkStart w:name="z170" w:id="147"/>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147"/>
    <w:bookmarkStart w:name="z171" w:id="148"/>
    <w:p>
      <w:pPr>
        <w:spacing w:after="0"/>
        <w:ind w:left="0"/>
        <w:jc w:val="both"/>
      </w:pPr>
      <w:r>
        <w:rPr>
          <w:rFonts w:ascii="Times New Roman"/>
          <w:b w:val="false"/>
          <w:i w:val="false"/>
          <w:color w:val="000000"/>
          <w:sz w:val="28"/>
        </w:rPr>
        <w:t>
      11.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148"/>
    <w:bookmarkStart w:name="z172" w:id="149"/>
    <w:p>
      <w:pPr>
        <w:spacing w:after="0"/>
        <w:ind w:left="0"/>
        <w:jc w:val="both"/>
      </w:pPr>
      <w:r>
        <w:rPr>
          <w:rFonts w:ascii="Times New Roman"/>
          <w:b w:val="false"/>
          <w:i w:val="false"/>
          <w:color w:val="000000"/>
          <w:sz w:val="28"/>
        </w:rPr>
        <w:t>
      12. В расчет ликвидных активов, предусмотренных пунктом 11 Методики, не включаются:</w:t>
      </w:r>
    </w:p>
    <w:bookmarkEnd w:id="149"/>
    <w:bookmarkStart w:name="z173" w:id="150"/>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150"/>
    <w:bookmarkStart w:name="z174" w:id="151"/>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51"/>
    <w:bookmarkStart w:name="z175" w:id="152"/>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152"/>
    <w:bookmarkStart w:name="z176" w:id="153"/>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153"/>
    <w:bookmarkStart w:name="z177" w:id="154"/>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154"/>
    <w:bookmarkStart w:name="z178" w:id="155"/>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155"/>
    <w:bookmarkStart w:name="z179" w:id="156"/>
    <w:p>
      <w:pPr>
        <w:spacing w:after="0"/>
        <w:ind w:left="0"/>
        <w:jc w:val="both"/>
      </w:pPr>
      <w:r>
        <w:rPr>
          <w:rFonts w:ascii="Times New Roman"/>
          <w:b w:val="false"/>
          <w:i w:val="false"/>
          <w:color w:val="000000"/>
          <w:sz w:val="28"/>
        </w:rPr>
        <w:t xml:space="preserve">
      13.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237, зарегистрированным в Реестре государственной регистрации нормативных правовых актов под № 8815.</w:t>
      </w:r>
    </w:p>
    <w:bookmarkEnd w:id="156"/>
    <w:bookmarkStart w:name="z180" w:id="157"/>
    <w:p>
      <w:pPr>
        <w:spacing w:after="0"/>
        <w:ind w:left="0"/>
        <w:jc w:val="left"/>
      </w:pPr>
      <w:r>
        <w:rPr>
          <w:rFonts w:ascii="Times New Roman"/>
          <w:b/>
          <w:i w:val="false"/>
          <w:color w:val="000000"/>
        </w:rPr>
        <w:t xml:space="preserve"> Глава 4. Методика расчета значений пруденциальных нормативов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или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w:t>
      </w:r>
    </w:p>
    <w:bookmarkEnd w:id="157"/>
    <w:bookmarkStart w:name="z181" w:id="158"/>
    <w:p>
      <w:pPr>
        <w:spacing w:after="0"/>
        <w:ind w:left="0"/>
        <w:jc w:val="both"/>
      </w:pPr>
      <w:r>
        <w:rPr>
          <w:rFonts w:ascii="Times New Roman"/>
          <w:b w:val="false"/>
          <w:i w:val="false"/>
          <w:color w:val="000000"/>
          <w:sz w:val="28"/>
        </w:rPr>
        <w:t>
      14. Коэффициент достаточности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рассчитывается по формуле:</w:t>
      </w:r>
    </w:p>
    <w:bookmarkEnd w:id="158"/>
    <w:bookmarkStart w:name="z182" w:id="159"/>
    <w:p>
      <w:pPr>
        <w:spacing w:after="0"/>
        <w:ind w:left="0"/>
        <w:jc w:val="both"/>
      </w:pPr>
      <w:r>
        <w:rPr>
          <w:rFonts w:ascii="Times New Roman"/>
          <w:b w:val="false"/>
          <w:i w:val="false"/>
          <w:color w:val="000000"/>
          <w:sz w:val="28"/>
        </w:rPr>
        <w:t>
      К = (ВЛА+ЛА - О) / МРСК, где:</w:t>
      </w:r>
    </w:p>
    <w:bookmarkEnd w:id="159"/>
    <w:bookmarkStart w:name="z183" w:id="160"/>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18 Методики;</w:t>
      </w:r>
    </w:p>
    <w:bookmarkEnd w:id="160"/>
    <w:bookmarkStart w:name="z184" w:id="161"/>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18 Методики;</w:t>
      </w:r>
    </w:p>
    <w:bookmarkEnd w:id="161"/>
    <w:bookmarkStart w:name="z185" w:id="162"/>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62"/>
    <w:bookmarkStart w:name="z186" w:id="163"/>
    <w:p>
      <w:pPr>
        <w:spacing w:after="0"/>
        <w:ind w:left="0"/>
        <w:jc w:val="both"/>
      </w:pPr>
      <w:r>
        <w:rPr>
          <w:rFonts w:ascii="Times New Roman"/>
          <w:b w:val="false"/>
          <w:i w:val="false"/>
          <w:color w:val="000000"/>
          <w:sz w:val="28"/>
        </w:rPr>
        <w:t>
      МРСК - минимальный размер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принимаемый в расчет достаточности собственного капитала, рассчитывается в соответствии с подпунктами 1) и 2) пункта 17 Методики вне зависимости от размера иных активов, принятых в управление.</w:t>
      </w:r>
    </w:p>
    <w:bookmarkEnd w:id="163"/>
    <w:bookmarkStart w:name="z187" w:id="164"/>
    <w:p>
      <w:pPr>
        <w:spacing w:after="0"/>
        <w:ind w:left="0"/>
        <w:jc w:val="both"/>
      </w:pPr>
      <w:r>
        <w:rPr>
          <w:rFonts w:ascii="Times New Roman"/>
          <w:b w:val="false"/>
          <w:i w:val="false"/>
          <w:color w:val="000000"/>
          <w:sz w:val="28"/>
        </w:rPr>
        <w:t xml:space="preserve">
      15. Коэффициент достаточности собственного капитала УИП1 или УИП2 рассчитывается по формуле: </w:t>
      </w:r>
    </w:p>
    <w:bookmarkEnd w:id="164"/>
    <w:bookmarkStart w:name="z188" w:id="165"/>
    <w:p>
      <w:pPr>
        <w:spacing w:after="0"/>
        <w:ind w:left="0"/>
        <w:jc w:val="both"/>
      </w:pPr>
      <w:r>
        <w:rPr>
          <w:rFonts w:ascii="Times New Roman"/>
          <w:b w:val="false"/>
          <w:i w:val="false"/>
          <w:color w:val="000000"/>
          <w:sz w:val="28"/>
        </w:rPr>
        <w:t>
      К = (ВЛА+ЛА - О) / (МРСК+Ор_БД+Ор_УИП), где:</w:t>
      </w:r>
    </w:p>
    <w:bookmarkEnd w:id="165"/>
    <w:bookmarkStart w:name="z189" w:id="166"/>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18 Методики;</w:t>
      </w:r>
    </w:p>
    <w:bookmarkEnd w:id="166"/>
    <w:bookmarkStart w:name="z190" w:id="167"/>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18 Методики;</w:t>
      </w:r>
    </w:p>
    <w:bookmarkEnd w:id="167"/>
    <w:bookmarkStart w:name="z191" w:id="16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68"/>
    <w:bookmarkStart w:name="z192" w:id="169"/>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составляющий 50 000 (пятьдесят тысяч) МРП;</w:t>
      </w:r>
    </w:p>
    <w:bookmarkEnd w:id="169"/>
    <w:bookmarkStart w:name="z193" w:id="170"/>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70"/>
    <w:bookmarkStart w:name="z194" w:id="171"/>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расчетную дату, умноженный на коэффициент операционного риска УИП – 0,1%.</w:t>
      </w:r>
    </w:p>
    <w:bookmarkEnd w:id="171"/>
    <w:bookmarkStart w:name="z195" w:id="172"/>
    <w:p>
      <w:pPr>
        <w:spacing w:after="0"/>
        <w:ind w:left="0"/>
        <w:jc w:val="both"/>
      </w:pPr>
      <w:r>
        <w:rPr>
          <w:rFonts w:ascii="Times New Roman"/>
          <w:b w:val="false"/>
          <w:i w:val="false"/>
          <w:color w:val="000000"/>
          <w:sz w:val="28"/>
        </w:rPr>
        <w:t>
      16. Минимальное значение коэффициентов срочной ликвидности УИП1 или УИП2 устанавливается в размере:</w:t>
      </w:r>
    </w:p>
    <w:bookmarkEnd w:id="172"/>
    <w:bookmarkStart w:name="z196" w:id="173"/>
    <w:p>
      <w:pPr>
        <w:spacing w:after="0"/>
        <w:ind w:left="0"/>
        <w:jc w:val="both"/>
      </w:pPr>
      <w:r>
        <w:rPr>
          <w:rFonts w:ascii="Times New Roman"/>
          <w:b w:val="false"/>
          <w:i w:val="false"/>
          <w:color w:val="000000"/>
          <w:sz w:val="28"/>
        </w:rPr>
        <w:t>
      К2-1 – не менее 1;</w:t>
      </w:r>
    </w:p>
    <w:bookmarkEnd w:id="173"/>
    <w:bookmarkStart w:name="z197" w:id="174"/>
    <w:p>
      <w:pPr>
        <w:spacing w:after="0"/>
        <w:ind w:left="0"/>
        <w:jc w:val="both"/>
      </w:pPr>
      <w:r>
        <w:rPr>
          <w:rFonts w:ascii="Times New Roman"/>
          <w:b w:val="false"/>
          <w:i w:val="false"/>
          <w:color w:val="000000"/>
          <w:sz w:val="28"/>
        </w:rPr>
        <w:t>
      К2-2 – не менее 0,9;</w:t>
      </w:r>
    </w:p>
    <w:bookmarkEnd w:id="174"/>
    <w:bookmarkStart w:name="z198" w:id="175"/>
    <w:p>
      <w:pPr>
        <w:spacing w:after="0"/>
        <w:ind w:left="0"/>
        <w:jc w:val="both"/>
      </w:pPr>
      <w:r>
        <w:rPr>
          <w:rFonts w:ascii="Times New Roman"/>
          <w:b w:val="false"/>
          <w:i w:val="false"/>
          <w:color w:val="000000"/>
          <w:sz w:val="28"/>
        </w:rPr>
        <w:t>
      К2-3 – не менее 0,8;</w:t>
      </w:r>
    </w:p>
    <w:bookmarkEnd w:id="175"/>
    <w:bookmarkStart w:name="z199" w:id="176"/>
    <w:p>
      <w:pPr>
        <w:spacing w:after="0"/>
        <w:ind w:left="0"/>
        <w:jc w:val="both"/>
      </w:pPr>
      <w:r>
        <w:rPr>
          <w:rFonts w:ascii="Times New Roman"/>
          <w:b w:val="false"/>
          <w:i w:val="false"/>
          <w:color w:val="000000"/>
          <w:sz w:val="28"/>
        </w:rPr>
        <w:t xml:space="preserve">
      К2-4 – не менее 0,5. </w:t>
      </w:r>
    </w:p>
    <w:bookmarkEnd w:id="176"/>
    <w:bookmarkStart w:name="z200" w:id="177"/>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до 7 (семи) дней включительно. Если размер срочных обязательств с оставшимся сроком до погашения до 7 (семи) дней составляет менее 10% от высоколиквидных активов, то коэффициент срочной ликвидности К2-1 не рассчитывается и считается исполненным.</w:t>
      </w:r>
    </w:p>
    <w:bookmarkEnd w:id="177"/>
    <w:bookmarkStart w:name="z201" w:id="178"/>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1 (одного) месяца включительно. Если размер срочных обязательств с оставшимся сроком до погашения до 1 (одного) месяца составляет менее 10% от ликвидных активов, то коэффициент срочной ликвидности К2-2 не рассчитывается и считается исполненным.</w:t>
      </w:r>
    </w:p>
    <w:bookmarkEnd w:id="178"/>
    <w:bookmarkStart w:name="z202" w:id="179"/>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ликвидных активов, включая высоколиквидные активы, к размеру срочных обязательств с оставшимся сроком до погашения до 3 (трех) месяцев включительно. Если размер срочных обязательств с оставшимся сроком до погашения до 3 (трех) месяцев составляет менее 10% от ликвидных активов, то коэффициент срочной ликвидности К2-3 не рассчитывается и считается исполненным.</w:t>
      </w:r>
    </w:p>
    <w:bookmarkEnd w:id="179"/>
    <w:bookmarkStart w:name="z203" w:id="180"/>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ликвидных активов, включая высоколиквидные активы, к размеру совокупных обязательств. Если размер совокупных обязательств с оставшимся сроком до погашения до 3 (трех) месяцев составляет менее 10% от ликвидных активов, то коэффициент срочной ликвидности К2-4 не рассчитывается и считается исполненным.</w:t>
      </w:r>
    </w:p>
    <w:bookmarkEnd w:id="180"/>
    <w:bookmarkStart w:name="z204" w:id="181"/>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18 Методики.</w:t>
      </w:r>
    </w:p>
    <w:bookmarkEnd w:id="181"/>
    <w:bookmarkStart w:name="z205" w:id="182"/>
    <w:p>
      <w:pPr>
        <w:spacing w:after="0"/>
        <w:ind w:left="0"/>
        <w:jc w:val="both"/>
      </w:pPr>
      <w:r>
        <w:rPr>
          <w:rFonts w:ascii="Times New Roman"/>
          <w:b w:val="false"/>
          <w:i w:val="false"/>
          <w:color w:val="000000"/>
          <w:sz w:val="28"/>
        </w:rPr>
        <w:t>
      17. Если:</w:t>
      </w:r>
    </w:p>
    <w:bookmarkEnd w:id="182"/>
    <w:bookmarkStart w:name="z206" w:id="183"/>
    <w:p>
      <w:pPr>
        <w:spacing w:after="0"/>
        <w:ind w:left="0"/>
        <w:jc w:val="both"/>
      </w:pPr>
      <w:r>
        <w:rPr>
          <w:rFonts w:ascii="Times New Roman"/>
          <w:b w:val="false"/>
          <w:i w:val="false"/>
          <w:color w:val="000000"/>
          <w:sz w:val="28"/>
        </w:rPr>
        <w:t xml:space="preserve">
      1) текущая стоимость пенсионных активов, принятых УИП1 или УИП2 в доверительное управление, составляет менее 100 000 000 000 (ста миллиардов) тенге, то МРСК равен 1 029 000 (одному миллиону двадцати девяти тысячам) МРП; </w:t>
      </w:r>
    </w:p>
    <w:bookmarkEnd w:id="183"/>
    <w:bookmarkStart w:name="z207" w:id="184"/>
    <w:p>
      <w:pPr>
        <w:spacing w:after="0"/>
        <w:ind w:left="0"/>
        <w:jc w:val="both"/>
      </w:pPr>
      <w:r>
        <w:rPr>
          <w:rFonts w:ascii="Times New Roman"/>
          <w:b w:val="false"/>
          <w:i w:val="false"/>
          <w:color w:val="000000"/>
          <w:sz w:val="28"/>
        </w:rPr>
        <w:t>
      2) текущая стоимость пенсионных активов, принятых УИП1 или УИП2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УИП1 или УИП2 в доверительное управление.</w:t>
      </w:r>
    </w:p>
    <w:bookmarkEnd w:id="184"/>
    <w:bookmarkStart w:name="z208" w:id="185"/>
    <w:p>
      <w:pPr>
        <w:spacing w:after="0"/>
        <w:ind w:left="0"/>
        <w:jc w:val="both"/>
      </w:pPr>
      <w:r>
        <w:rPr>
          <w:rFonts w:ascii="Times New Roman"/>
          <w:b w:val="false"/>
          <w:i w:val="false"/>
          <w:color w:val="000000"/>
          <w:sz w:val="28"/>
        </w:rPr>
        <w:t>
      18.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 2.1, 2.3, 2.4, 2.8, 2.10, 2.11, 2.14, 3.1, 3.2, 3.5, 4.4, 5.1.</w:t>
      </w:r>
    </w:p>
    <w:bookmarkEnd w:id="185"/>
    <w:bookmarkStart w:name="z209" w:id="186"/>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за исключением строк, указанных в части первой настоящего пункта. </w:t>
      </w:r>
    </w:p>
    <w:bookmarkEnd w:id="186"/>
    <w:bookmarkStart w:name="z210" w:id="187"/>
    <w:p>
      <w:pPr>
        <w:spacing w:after="0"/>
        <w:ind w:left="0"/>
        <w:jc w:val="both"/>
      </w:pPr>
      <w:r>
        <w:rPr>
          <w:rFonts w:ascii="Times New Roman"/>
          <w:b w:val="false"/>
          <w:i w:val="false"/>
          <w:color w:val="000000"/>
          <w:sz w:val="28"/>
        </w:rPr>
        <w:t>
      19. В расчет высоколиквидных и ликвидных активов УИП1 или УИП2, предусмотренных пунктом 18 Методики, не включаются:</w:t>
      </w:r>
    </w:p>
    <w:bookmarkEnd w:id="187"/>
    <w:bookmarkStart w:name="z211" w:id="188"/>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88"/>
    <w:bookmarkStart w:name="z212" w:id="189"/>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89"/>
    <w:bookmarkStart w:name="z213" w:id="190"/>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90"/>
    <w:bookmarkStart w:name="z214" w:id="19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