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48ba" w14:textId="c704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ноября 2022 года № 633. Зарегистрирован в Министерстве юстиции Республики Казахстан 22 ноября 2022 года № 30653.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353;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 и более;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м3/сут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и дороги городов и сельских населенных пунктов, не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10 000;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(включительно);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до 45 м (метров) (включительно);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площадки, тротуары, мощение вокруг зданий (сооружений);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до 200 кВт (Киловатт) для субъектов предпринимательства;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домов.".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