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684f" w14:textId="fca6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энергоэффективности товаров, работ, услуг при осуществлении государственных закупок и закупок товаров, работ,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ноября 2022 года № 627. Зарегистрирован в Министерстве юстиции Республики Казахстан 14 ноября 2022 года № 30527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требования по энергоэффективности товаров, работ, услуг при осуществлении государственных закупок и закупок товаров, работ,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627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энергоэффективности товаров, работ, услуг при осуществлении государственных закупок и закупок товаров, работ, услуг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приборы бытового назначения (холодильники, морозильники и их комбинации), которые могут применяться в коммерческих целях (на производстве, в сфере торговли и услуг), питаются от сети переменного тока с номинальным напряжением до 250 В (включительно) и имеют полезный объем охлажденной и (или) замороженной пищевой и (или) иной продукции не более 1500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приборы бытового назначения должны иметь класс энергетической эффективности не ниже А+, что соответствует индексу энергетической эффективности EEI&lt;42.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светодиодных источников света, применяемых для внутреннего освещения, устанавливаются требования по световой отдаче на уровне не менее 120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люминесцентных ламп T5, применяемых для внутреннего освещения, устанавливаются требования по световой отдаче на уровне не менее 80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люминесцентных ламп T8, применяемых для внутреннего освещения, устанавливаются требования по световой отдаче на уровне не менее 85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люминесцентных ламп T9 (круглая), применяемых для внутреннего освещения, устанавливаются требования по световой отдаче на уровне не менее 70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индукционных ламп, применяемых для внутреннего освещения, устанавливаются требования по световой отдаче на уровне не менее 70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компактных люминесцентных ламп (КЛЛ), применяемых для внутреннего освещения, устанавливаются требования по световой отдаче на уровне не менее 70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натриевых ламп высокого давления, устанавливаются требования по световой отдаче на уровне не менее 80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металлогалогенных ламп, устанавливаются требования по световой отдаче на уровне не менее 80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керамических металлогалогенных ламп, устанавливаются требования по световой отдаче на уровне не менее 85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кварцевых металлогалогенных ламп, устанавливаются требования по световой отдаче на уровне не менее 80 люмен/Ватт.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органических светодиодных ламп (OLED), устанавливаются требования по световой отдаче на уровне не менее 65 люмен/Ватт.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Телевизоры, питающиеся от электрической сети с номинальным напряжением до 250 В (включительно) и предназначенные для эксплуатации в жилых и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 должны иметь класс энергетической эффективности не ниже А, что соответствует индексу энергетической эффективности EEI&lt;0,30.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автоматические стиральные машины, которые могут применяться и в коммерческих целях (на производстве, в торговле и сфере услуг), питаемые от сети переменного тока с номинальным напряжением до 250 В (включительно), стиральные машины, которые наряду с питанием от сети могут работать от электрических батарей (аккумуляторов), а также встраиваемые стиральные машины, за исключением комбинированных стирально-сушильных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автоматические стиральные машины должны иметь класс энергетической эффективности не ниже А+, что соответствует индексу энергетической эффективности EEI&lt;0,59.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посудомоечные машины, питаемые от сети переменного тока с номинальным напряжением до 230 В, в том числе применяемые в не бытовых целях, способные работать также от электрических батарей (аккумуляторов) и встраиваемые.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посудомоечные машины должны иметь класс энергетической эффективности не ниже А++, что соответствует индексу энергетической эффективности EEI&lt;0,56.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и серверы, предназначенные для питания непосредственно от сети переменного тока, в том числе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или внутренний источник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потребление электроэнергии (ETEC) (в кВт*ч/год) настольного компьютера и моноблочного настольного компьютера не должно превышать: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А - 94,00;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В - 112,00;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С - 134,00;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D - 150,00.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потребление электроэнергии ноутбука (ETEC) (в кВт*ч/год) не должно превышать: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А - 27,00;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В - 36,00;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С - 60,50.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Герметичные циркуляционные насосы автономные и интегрированные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Циркуляционные насосы должны иметь индекс энергетической эффективности не более 0,23 (EEI&lt;0,23).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с электроприводом мощностью от 125 Вт (включительно) до 500 кВт (включительно) и напряжением питания до 1000 В (включительно) переменного и до 1500 В (включительно)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эффективности (N) вентиляторов: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осевой вентилятор, категория измерений A, C – 40; категория измерений B, D –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радиальный вентилятор с загнутыми вперед лопастями и радиальный вентилятор с прямыми радиальными лопастями, категория измерений A, C – 44; категория измерений B, D –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радиальный вентилятор с загнутыми назад лопастями без корпуса, категория измерений A, С – 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радиальный вентилятор с загнутыми назад лопастями в корпусе, категория измерений A, C – 61, категория измерений B, D –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диагональный вентилятор, категория измерений A, C – 50, категория измерений B, D – 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диаметральный вентилятор, категория измерений B, D – 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Питаемые от сети переменного тока бытовые машины сушильные барабанного типа для текстильных изделий, которые могут применяться и в коммерческих целях (на производстве, в торговле и сфере услуг), с устройством электрического или газового подогрева воздуха, в том числе встраиваемые машины сушильные барабанного типа, за исключением центрифуг и машин сушильных, входящих в состав комбинированных машин стирально-сушильных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машины сушильные барабанного типа должны иметь класс энергетической эффективности не ниже А, что соответствует индексу энергетической эффективности EEI&lt;0,65.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Питающиеся от электрической сети кондиционеры воздуха с номинальной мощностью для охлаждения и (или) для обогрева не более 12 кВт, а также комнатные вентиляторы с номинальной потребляемой мощностью не более 125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воздуха должны иметь класс энергетической эффективности не ниже B.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Односкоростные трехфазные двигатели электрические асинхронные (индукционные) с короткозамкнутым ротором, количеством полюсов от 2 до 6, номинальным напряжением до 1000 В, номинальной частотой 50 или 50/60 Гц и номинальной мощностью от 0,75 до 375 кВт, предназначенные для работы в непрерывном режиме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электрические асинхронные должны иметь класс энергетической эффективности не ниже IE3.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 интегрированные насосы, предназначенные для перекачки чистой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 интегрированные насосы должны иметь минимальный индекс энергоэффективности равный или более 0,50 (MEI ≥ 0,50).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параметров энергоэффективности (потери холостого хода и (или) потери короткого замыкания) должен соответствовать классу энергоэффективности 2 и более (X2, Х3, Х4 и (или) К2, 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насосного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должны быть выполнены с использованием товаров, на которые распространяются требования по энергоэффективности в соответствии с настоящими Требованиями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даты введения в действие требований по энергоэффективности на соответствующие товары, предусмотренные настоящими Требованиями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климатического оборудования и систем/вентиляционных систем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оборудования для стирки/чистки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энергоэффективного освещения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электродвигателей/генераторов и аналогичного оборудования (кроме применяемых на транспорте)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внедрению/установке/улучшению оборудования для электродвигателя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(строительству) жилых зданий/сооружений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жилых зданий/сооружений/помещений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реконструкции жилых зданий/сооружений/помещений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восстановлению жилых зданий/сооружений/помещений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(строительству) нежилых зданий/сооружений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нежилых зданий/сооружений/помещений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реконструкции нежилых зданий/сооружений/помещений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восстановлению нежилых зданий/сооружений/помещений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ремонту/реконструкции отдельных элементов нежилых зданий/сооружений/помещений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установке/монтажу климатического оборудования и систем/вентиляционных систем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компьютерной/периферийной оргтехники/оборудования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содержанию/обеспечению декоративной подсветки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должны быть оказаны с использованием товаров, на которые распространяются требования по энергоэффективности в соответствии с настоящими Требованиями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даты введения в действие требований по энергоэффективности на соответствующие товары, предусмотренные настоящими Требованиями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зданий/сооружений/помещений и прилегающих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световых конструкций/светодиодных экранов и аналогичного оборудования и конструкций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