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6b6d" w14:textId="fbd6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 апреля 2020 года № ҚР ДСМ-26/2020 "Об утверждении Правил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1 ноября 2022 года № ҚР ДСМ-124. Зарегистрирован в Министерстве юстиции Республики Казахстан 3 ноября 2022 года № 30398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апреля 2020 года № ҚР ДСМ-26/2020 "Об утверждении Правил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20308)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утвержденных приложением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"2. Оказание государственной услуги осуществляется некоммерческим акционерным обществом "Фонд социального медицинского страхования" (далее – Фонд).</w:t>
      </w:r>
    </w:p>
    <w:bookmarkEnd w:id="3"/>
    <w:bookmarkStart w:name="z9" w:id="4"/>
    <w:p>
      <w:pPr>
        <w:spacing w:after="0"/>
        <w:ind w:left="0"/>
        <w:jc w:val="both"/>
      </w:pPr>
      <w:r>
        <w:rPr>
          <w:rFonts w:ascii="Times New Roman"/>
          <w:b w:val="false"/>
          <w:i w:val="false"/>
          <w:color w:val="000000"/>
          <w:sz w:val="28"/>
        </w:rPr>
        <w:t>
      Уполномоченный орган в области здравоохранения направляет информацию о внесенных изменениях и (или) дополнениях в настоящие Правила Фонду, оператору информационно-коммуникационной инфраструктуры "электронного правительства" и в Единый контакт-центр по вопросам оказания государственных услуг.";</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характеристики процесса, форму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государственной услуги "Выдача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6"/>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6"/>
    <w:bookmarkStart w:name="z14"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5"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8"/>
    <w:bookmarkStart w:name="z16" w:id="9"/>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 </w:t>
      </w:r>
    </w:p>
    <w:bookmarkEnd w:id="9"/>
    <w:bookmarkStart w:name="z17"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0"/>
    <w:bookmarkStart w:name="z18"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2022 года</w:t>
            </w:r>
            <w:r>
              <w:br/>
            </w:r>
            <w:r>
              <w:rPr>
                <w:rFonts w:ascii="Times New Roman"/>
                <w:b w:val="false"/>
                <w:i w:val="false"/>
                <w:color w:val="000000"/>
                <w:sz w:val="20"/>
              </w:rPr>
              <w:t>№ ҚР ДСМ-124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информации</w:t>
            </w:r>
            <w:r>
              <w:br/>
            </w:r>
            <w:r>
              <w:rPr>
                <w:rFonts w:ascii="Times New Roman"/>
                <w:b w:val="false"/>
                <w:i w:val="false"/>
                <w:color w:val="000000"/>
                <w:sz w:val="20"/>
              </w:rPr>
              <w:t>об участии в качестве</w:t>
            </w:r>
            <w:r>
              <w:br/>
            </w:r>
            <w:r>
              <w:rPr>
                <w:rFonts w:ascii="Times New Roman"/>
                <w:b w:val="false"/>
                <w:i w:val="false"/>
                <w:color w:val="000000"/>
                <w:sz w:val="20"/>
              </w:rPr>
              <w:t>потребителя медицинских услуг</w:t>
            </w:r>
            <w:r>
              <w:br/>
            </w:r>
            <w:r>
              <w:rPr>
                <w:rFonts w:ascii="Times New Roman"/>
                <w:b w:val="false"/>
                <w:i w:val="false"/>
                <w:color w:val="000000"/>
                <w:sz w:val="20"/>
              </w:rPr>
              <w:t>и о перечисленных суммах</w:t>
            </w:r>
            <w:r>
              <w:br/>
            </w:r>
            <w:r>
              <w:rPr>
                <w:rFonts w:ascii="Times New Roman"/>
                <w:b w:val="false"/>
                <w:i w:val="false"/>
                <w:color w:val="000000"/>
                <w:sz w:val="20"/>
              </w:rPr>
              <w:t>отчислений и (или) взносов</w:t>
            </w:r>
            <w:r>
              <w:br/>
            </w:r>
            <w:r>
              <w:rPr>
                <w:rFonts w:ascii="Times New Roman"/>
                <w:b w:val="false"/>
                <w:i w:val="false"/>
                <w:color w:val="000000"/>
                <w:sz w:val="20"/>
              </w:rPr>
              <w:t>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23" w:id="1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минут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в соответствии с установленным графиком работы с 9-00 до 18-30 часов с перерывом на обед с 13-00 до 14-30 часов, за исключением субботы, воскресенья и праздничных дней;</w:t>
            </w:r>
          </w:p>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заявок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Электронный документ услугополучателя с наличием индивидуального идентификационного номера (для идентификации), который услугодатель получает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Фонда – https://fms.kz/, контакт-центр Фонда по бесплатному номеру 1406.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8-800-080-7777,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