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8dfd" w14:textId="0798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энергетики Республики Казахстан от 20 марта 2015 года № 230 "Об утверждении Правил устройства электроустановок"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31 октября 2022 года № 340. Зарегистрирован в Министерстве юстиции Республики Казахстан 1 ноября 2022 года № 30364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марта 2015 года № 230 "Об утверждении Правил устройства электроустановок" (зарегистрирован в Реестре государственной регистрации нормативных правовых актов за № 10851)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электроэнергетике"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устройства электроустановок,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"97. Прибор учета, используемый в качестве коммерческого, должен быть зарегистрирован в реестре Государственной системы обеспечения единства измерений Республики Казахстан и поверен.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Каждый установленный ПКУ должен иметь на устройстве крепления кожуха, поверительные клейма, а на зажимной крышке или другом устройстве, исключающем доступ к ряду зажимов прибора учета, пломбу энергопередающей организации.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вновь устанавливаемых статистических (электронных) приборах учета должны быть поверительные клейма с давностью не более половины межповерочного интервала, для индукционных приборов учета должны быть поверительные клейма с давностью не более 12 месяцев.";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"699. Нормативные значения нагрузок от веса оборудования, материалов, от тяжения проводов, грозозащитных тросов принимаются на основании действующих строительных правил, государственных стандартов или в соответствии с указаниями настоящих Правил, с учетом требований ГОСТ 27751 "Надежность строительных конструкций и оснований. Основные положения", в соответствии с параграфом 4 главы 14 и таблицей 134 приложения 1 настоящих Правил.";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"782. ВЛ 110-500 кВ с металлическими и железобетонными опорами должны быть защищены от прямых ударов молнии тросами по всей длине линии.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Сооружение ВЛ 110-500 кВ без тросов допускается: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районах с числом грозовых часов в году менее 20;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отдельных участках ВЛ в районах с плохо проводящими грунтами (</w:t>
      </w:r>
      <w:r>
        <w:rPr>
          <w:rFonts w:ascii="Times New Roman"/>
          <w:b w:val="false"/>
          <w:i w:val="false"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≥ 103 Ом.м);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участках трассы с расчетной толщиной стенки гололеда более 20 мм.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Усиления изоляции для случаев, приведенных в подпунктах 1)-3) настоящего пункта, не требуется.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подходов ВЛ к подстанциям должна выполняться в соответствии с требованиями главы 16 настоящих Правил.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ВЛ до 35 кВ применение грозозащитных тросов не требуется.";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847-1 следующего содержания: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"847-1. Совместная подвеска ВОЛС на опорах ВЛ осуществляется согласно общим техническим характеристикам ВОЛС-ВЛ, предусмотренных в приложении 5 к настоящим Правилам. При этом, данные технические характеристики пересматриваются по согласованию с балансодержателем электрических сетей.";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"1398. Защиту от прямых ударов молнии ОРУ, на конструкциях которых установка молниеотводов не допускается или нецелесообразна по конструктивным соображениям, выполняется отдельно стоящими молниеотводами, имеющими обособленные заземлители с сопротивлением не более 80 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S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, м, между обособленным заземлителем молниеотвода и заземляющим устройством ОРУ (подстанции) должно быть равным (но не менее 3 м)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 xml:space="preserve"> &gt;0,2Rи, (46)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Rи – сопротивление заземления отдельно стоящего молниеотвода, которое должно быть не более 40 Ом. При этом, грозозащитный трос не должен заводиться на линейный портал, а первый пролет должен быть защищен отдельно стоящим молниеотводом.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по воздуху S</w:t>
      </w:r>
      <w:r>
        <w:rPr>
          <w:rFonts w:ascii="Times New Roman"/>
          <w:b w:val="false"/>
          <w:i w:val="false"/>
          <w:color w:val="000000"/>
          <w:vertAlign w:val="subscript"/>
        </w:rPr>
        <w:t>в,o</w:t>
      </w:r>
      <w:r>
        <w:rPr>
          <w:rFonts w:ascii="Times New Roman"/>
          <w:b w:val="false"/>
          <w:i w:val="false"/>
          <w:color w:val="000000"/>
          <w:sz w:val="28"/>
        </w:rPr>
        <w:t>, м, от отдельно стоящего молниеотвода с обособленным заземлителем до токоведущих частей, заземленных конструкций и оборудования ОРУ (подстанции) должно быть равным (но не менее 5 м).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в,o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0,12 Rи+ 0,1 Н, (47)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Н – высота рассматриваемой точки молниеотвода над уровнем земли, м.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Заземлители отдельно стоящих молниеотводов в ОРУ присоединяются к заземляющему устройству ОРУ (подстанции) при соблюдении указанных в пункте 1395 настоящих Правил условий установки молниеотводов на конструкциях ОРУ. Место присоединения заземлителя отдельно стоящего молниеотвода к заземляющему устройству подстанции должно быть удалено по магистралям заземления на расстояние не менее 15 м от места присоединения к нему трансформатора (реактора). В месте присоединения заземлителя отдельно стоящего молниеотвода к заземляющему устройству ОРУ 35-110 кВ должно быть выполнено два-три направления по магистралям заземления.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Заземлители отдельно стоящих молниеотводов, установленных на прожекторных мачтах, должны быть присоединены к заземляющему устройству подстанции. При этом, в случае несоблюдения условий, указанных в пункте 1395 настоящих Правил, дополнительно к общим требованиям присоединения заземлителей отдельно стоящих молниеотводов должны быть соблюдены следующие требования: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расстоянии 5 м от молниеотвода устанавливаются три-четыре вертикальных электрода длиной 3-5 м;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расстояние по магистралям заземления от места присоединения заземлителя молниеотвода к заземляющему устройству до места присоединения к нему трансформатора (реактора) превышает 15 м, но менее 40 м, то вблизи выводов обмоток напряжением до 35 кВ трансформатора должны быть установлены вентильные разрядники.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по воздуху S</w:t>
      </w:r>
      <w:r>
        <w:rPr>
          <w:rFonts w:ascii="Times New Roman"/>
          <w:b w:val="false"/>
          <w:i w:val="false"/>
          <w:color w:val="000000"/>
          <w:vertAlign w:val="subscript"/>
        </w:rPr>
        <w:t>в,с</w:t>
      </w:r>
      <w:r>
        <w:rPr>
          <w:rFonts w:ascii="Times New Roman"/>
          <w:b w:val="false"/>
          <w:i w:val="false"/>
          <w:color w:val="000000"/>
          <w:sz w:val="28"/>
        </w:rPr>
        <w:t>, м, от отдельно стоящего молниеотвода, заземлитель которого соединен с заземляющим устройством ОРУ (подстанции), до токоведущих частей должно составлять: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в,с</w:t>
      </w:r>
      <w:r>
        <w:rPr>
          <w:rFonts w:ascii="Times New Roman"/>
          <w:b w:val="false"/>
          <w:i w:val="false"/>
          <w:color w:val="000000"/>
          <w:sz w:val="28"/>
        </w:rPr>
        <w:t xml:space="preserve"> &gt; 0,1Н + m, (48)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Н – высота токоведущих частей над уровнем земли, 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длина гирлянды изоляторов, м.";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1899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"1899. Нормы освещенности, ограничения слепящего действия светильников, пульсаций освещенности и другие качественные показатели осветительных установок, виды и системы освещения должны приниматься согласно требованиям СН РК 2.04-01 "Естественное и искусственное освещение".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Эксплуатация светильников должна соответствовать требованиям пожарной безопасности, установленных в Правилах пожарной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21 февраля 2022 года № 55 (зарегистрирован в Реестре государственной регистрации нормативных правовых актов за № 26867) (далее – Правила пожарной безопасности).";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"2300. Защита зданий, сооружений и наружных установок, имеющих взрывоопасные зоны, от прямых ударов молнии и вторичных ее проявлений должна выполняться в соответствии с СП РК 2.04-103 "Устройство молниезащиты зданий и сооружений".";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электроэнергетики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55" w:id="4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56" w:id="4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2022 года № 340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электроустановок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технические характеристики ВОЛС-ВЛ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Применяется навивка ОК типа ОКНН на грозозащитном тросе ВЛ напряжением 110 кВ и выше, а также навивка ОК на фазный провод линии напряжением 35 кВ, со следующими характеристиками: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допустимая растягивающая нагрузка, кН – 0,3;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оптических волокон – 2-24;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габаритные размеры, мм – 3,4*5,2;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масса ОК, кг/км – не более 17,5.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Используется подвес ОК типа ОКСН между или ниже нижних проводов ВЛ 35, 110 кВ, со следующими характеристиками: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допустимая растягивающая нагрузка, кН – 7;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допустимая раздавливающая нагрузка, Н/см – 300;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оптических волокон – 24-32;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номинальный наружный диаметр ОК, мм – 10,6;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масса ОК, кг/км – до 92.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строительства ВОЛС в населенных пунктах по линиям 0,4, 6 и 10 кВ используется подвес кабеля ОКСН ниже нижних проводов, со следующими характеристиками: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допустимая растягивающая нагрузка, кН – 7;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допустимая раздавливающая нагрузка, Н/см – 300;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оптических волокон – 8-12;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номинальный наружный диаметр ОК, мм – 10,6;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масса ОК, кг/км – до 64.</w:t>
      </w:r>
    </w:p>
    <w:bookmarkEnd w:id="6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