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b89d" w14:textId="7d3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2022 года № 86. Зарегистрировано в Министерстве юстиции Республики Казахстан 28 октября 2022 года № 30351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26-8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"26-8. Транзитный портфель – временный портфель, формируемый из активов Фонда, ранее приобретенных в сберегательный портфель, по которым в последующем возникло несоответствие параметрам Правил вследствие обстоятельств (стихийные явления, военные действия, чрезвычайное положение), препятствующих исполнению обязательств по осуществлению выплат по данным активам.";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35-6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"35-6. Ограничения, предусмотренные в Правилах для портфелей Фонда, не распространяются на активы, размещенные в транзитном портфеле.";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Эталонным портфелем стабилизационного портфеля является состав индекса ICE BofA US 6-Month Treasury Bill Index. Данный индекс является индексом компании ICE Data Indices, состоящий из казначейских векселей США со сроком погашения до 6 (шести) месяцев.";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44-2 следующего содержания: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"44-2. В структуре сберегательного портфеля допускается создание транзитного портфеля.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пополнение транзитного портфеля путем приобретения ценных бумаг.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сверхдоходности не является целью управления транзитным портфелем.";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Эталонным портфелем для портфеля государственных облигаций развитых стран является композитный индекс облигаций развитых стран, состоящий из следующих индексов высоколиквидных ценных бумаг: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ICE BofA 1-10 Year US Treasury Index (G5O2) – 62,5 (шестьдесят два целых пять десятых) процентов;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Q1AR Custom Index (Q1AR) – 12,5 (двенадцать целых пять десятых) процентов;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 1-10 Year UK Gilt Index (G5L0) – 10 (десять) процентов;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 1-10 Year Japan Government Index (G5Y0) – 5 (пять) процентов;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 1-10 Year Australia Government Index (G5T0) – 5 (пять) процентов;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 1-10 Year Canada Government Index (G5C0) – 5 (пять) процентов.";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51-2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"портфеля государственных облигаций развивающихся стран с применением эталонного портфеля с индексом ICE BofA Q34A Custom Index, исключающим облигации стран с долей нефти в экспорте в размере более чем 80 (восемьдесят) процентов;";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"51-10. Эталонным портфелем для портфеля корпоративных облигаций является индекс ICE BofA Q35A Custom Index, исключающий ценные бумаги, выпускаемые компаниями с повышенным уровнем выбросов парниковых газов, угледобывающими компаниями и производителями табачных изделий.";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(Турсунханов Н.А.)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 Молдабекову А.М.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перехода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доли портфелей в составе сберегательного портфеля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каждого года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развитых стран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инструменты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 выше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 выше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