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f963" w14:textId="13df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20 октября 2022 года № 585. Зарегистрирован в Министерстве юстиции Республики Казахстан 21 октября 2022 года № 30274.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Приказ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за № 12684)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2022 года № 585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bookmarkStart w:name="z17" w:id="9"/>
    <w:p>
      <w:pPr>
        <w:spacing w:after="0"/>
        <w:ind w:left="0"/>
        <w:jc w:val="left"/>
      </w:pPr>
      <w:r>
        <w:rPr>
          <w:rFonts w:ascii="Times New Roman"/>
          <w:b/>
          <w:i w:val="false"/>
          <w:color w:val="000000"/>
        </w:rPr>
        <w:t xml:space="preserve"> Состав и содержание эскиза (эскизного проекта) и технического проекта</w:t>
      </w:r>
    </w:p>
    <w:bookmarkEnd w:id="9"/>
    <w:bookmarkStart w:name="z18" w:id="10"/>
    <w:p>
      <w:pPr>
        <w:spacing w:after="0"/>
        <w:ind w:left="0"/>
        <w:jc w:val="both"/>
      </w:pPr>
      <w:r>
        <w:rPr>
          <w:rFonts w:ascii="Times New Roman"/>
          <w:b w:val="false"/>
          <w:i w:val="false"/>
          <w:color w:val="000000"/>
          <w:sz w:val="28"/>
        </w:rPr>
        <w:t>
      Состав и содержание эскиза (эскизного проекта), разрабатываемого на предпроектной стадии для объектов нового строительства, разработанного проектной организацией, имеющей соответствующую лицензию:</w:t>
      </w:r>
    </w:p>
    <w:bookmarkEnd w:id="10"/>
    <w:bookmarkStart w:name="z19" w:id="11"/>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11"/>
    <w:bookmarkStart w:name="z20" w:id="12"/>
    <w:p>
      <w:pPr>
        <w:spacing w:after="0"/>
        <w:ind w:left="0"/>
        <w:jc w:val="both"/>
      </w:pPr>
      <w:r>
        <w:rPr>
          <w:rFonts w:ascii="Times New Roman"/>
          <w:b w:val="false"/>
          <w:i w:val="false"/>
          <w:color w:val="000000"/>
          <w:sz w:val="28"/>
        </w:rPr>
        <w:t>
      2. Генеральный план объекта в масштабе 1:500; 1:1000 (один из перечисленных);</w:t>
      </w:r>
    </w:p>
    <w:bookmarkEnd w:id="12"/>
    <w:bookmarkStart w:name="z21" w:id="13"/>
    <w:p>
      <w:pPr>
        <w:spacing w:after="0"/>
        <w:ind w:left="0"/>
        <w:jc w:val="both"/>
      </w:pPr>
      <w:r>
        <w:rPr>
          <w:rFonts w:ascii="Times New Roman"/>
          <w:b w:val="false"/>
          <w:i w:val="false"/>
          <w:color w:val="000000"/>
          <w:sz w:val="28"/>
        </w:rPr>
        <w:t>
      3. Фасады в масштабе 1:50; 1:100; 1:200; 1:400 (один из перечисленных) с ведомостью наружной отделки;</w:t>
      </w:r>
    </w:p>
    <w:bookmarkEnd w:id="13"/>
    <w:bookmarkStart w:name="z22" w:id="14"/>
    <w:p>
      <w:pPr>
        <w:spacing w:after="0"/>
        <w:ind w:left="0"/>
        <w:jc w:val="both"/>
      </w:pPr>
      <w:r>
        <w:rPr>
          <w:rFonts w:ascii="Times New Roman"/>
          <w:b w:val="false"/>
          <w:i w:val="false"/>
          <w:color w:val="000000"/>
          <w:sz w:val="28"/>
        </w:rPr>
        <w:t>
      4. Планы этажей с экспликацией помещений, разрезы в масштабе 1:100; 1:200; 1:400 (один из перечисленных);</w:t>
      </w:r>
    </w:p>
    <w:bookmarkEnd w:id="14"/>
    <w:bookmarkStart w:name="z23" w:id="15"/>
    <w:p>
      <w:pPr>
        <w:spacing w:after="0"/>
        <w:ind w:left="0"/>
        <w:jc w:val="both"/>
      </w:pPr>
      <w:r>
        <w:rPr>
          <w:rFonts w:ascii="Times New Roman"/>
          <w:b w:val="false"/>
          <w:i w:val="false"/>
          <w:color w:val="000000"/>
          <w:sz w:val="28"/>
        </w:rPr>
        <w:t>
      5. План кровли в масштабе 1:50; 1:100; 1:200; 1:400 (один из перечисленных);</w:t>
      </w:r>
    </w:p>
    <w:bookmarkEnd w:id="15"/>
    <w:bookmarkStart w:name="z24" w:id="16"/>
    <w:p>
      <w:pPr>
        <w:spacing w:after="0"/>
        <w:ind w:left="0"/>
        <w:jc w:val="both"/>
      </w:pPr>
      <w:r>
        <w:rPr>
          <w:rFonts w:ascii="Times New Roman"/>
          <w:b w:val="false"/>
          <w:i w:val="false"/>
          <w:color w:val="000000"/>
          <w:sz w:val="28"/>
        </w:rPr>
        <w:t>
      6. Планы инженерных сетей;</w:t>
      </w:r>
    </w:p>
    <w:bookmarkEnd w:id="16"/>
    <w:bookmarkStart w:name="z25" w:id="17"/>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здания, выбора материалов отделки и цветового решения фасадов, а также элементов благоустройства и озеленения участка с приведением основных объемно-планировочных показателей (вместимость, пропускная способность, мощность, строительный объем, общая и полезная площадь здания, площади застройки, озелененных и благоустроенных территории участка, материалы отделки и цветовой отделки фасада).</w:t>
      </w:r>
    </w:p>
    <w:bookmarkEnd w:id="17"/>
    <w:bookmarkStart w:name="z26" w:id="18"/>
    <w:p>
      <w:pPr>
        <w:spacing w:after="0"/>
        <w:ind w:left="0"/>
        <w:jc w:val="both"/>
      </w:pPr>
      <w:r>
        <w:rPr>
          <w:rFonts w:ascii="Times New Roman"/>
          <w:b w:val="false"/>
          <w:i w:val="false"/>
          <w:color w:val="000000"/>
          <w:sz w:val="28"/>
        </w:rPr>
        <w:t>
      Состав и содержание технического проекта, разрабатываемого для объектов реконструкции (перепланировки, переоборудования) помещений (отдельных частей) существующих зданий и сооружений, разработанного проектной организацией, имеющей соответствующую лицензию:</w:t>
      </w:r>
    </w:p>
    <w:bookmarkEnd w:id="18"/>
    <w:bookmarkStart w:name="z27" w:id="19"/>
    <w:p>
      <w:pPr>
        <w:spacing w:after="0"/>
        <w:ind w:left="0"/>
        <w:jc w:val="both"/>
      </w:pPr>
      <w:r>
        <w:rPr>
          <w:rFonts w:ascii="Times New Roman"/>
          <w:b w:val="false"/>
          <w:i w:val="false"/>
          <w:color w:val="000000"/>
          <w:sz w:val="28"/>
        </w:rPr>
        <w:t>
      1. Ситуационный план в масштабе 1:1000; 1:2000; 1:5000 (один из перечисленных) при изменении фасада в связи с устройством входной группы, реконструкции путем строительства пристройки;</w:t>
      </w:r>
    </w:p>
    <w:bookmarkEnd w:id="19"/>
    <w:bookmarkStart w:name="z28" w:id="20"/>
    <w:p>
      <w:pPr>
        <w:spacing w:after="0"/>
        <w:ind w:left="0"/>
        <w:jc w:val="both"/>
      </w:pPr>
      <w:r>
        <w:rPr>
          <w:rFonts w:ascii="Times New Roman"/>
          <w:b w:val="false"/>
          <w:i w:val="false"/>
          <w:color w:val="000000"/>
          <w:sz w:val="28"/>
        </w:rPr>
        <w:t>
      2. Генеральный план объекта в масштабе 1:500; 1:1000 (один из перечисленных) при изменении фасада в связи с устройством входной группы, реконструкции путем строительства пристройки;</w:t>
      </w:r>
    </w:p>
    <w:bookmarkEnd w:id="20"/>
    <w:bookmarkStart w:name="z29" w:id="21"/>
    <w:p>
      <w:pPr>
        <w:spacing w:after="0"/>
        <w:ind w:left="0"/>
        <w:jc w:val="both"/>
      </w:pPr>
      <w:r>
        <w:rPr>
          <w:rFonts w:ascii="Times New Roman"/>
          <w:b w:val="false"/>
          <w:i w:val="false"/>
          <w:color w:val="000000"/>
          <w:sz w:val="28"/>
        </w:rPr>
        <w:t>
      3. Фасады в масштабе 1:50; 1:100; 1:200; 1:400 (один из перечисленных) с ведомостью наружной отделки при изменении фасада в связи с устройством входной группы, реконструкции путем строительства пристройки;</w:t>
      </w:r>
    </w:p>
    <w:bookmarkEnd w:id="21"/>
    <w:bookmarkStart w:name="z30" w:id="22"/>
    <w:p>
      <w:pPr>
        <w:spacing w:after="0"/>
        <w:ind w:left="0"/>
        <w:jc w:val="both"/>
      </w:pPr>
      <w:r>
        <w:rPr>
          <w:rFonts w:ascii="Times New Roman"/>
          <w:b w:val="false"/>
          <w:i w:val="false"/>
          <w:color w:val="000000"/>
          <w:sz w:val="28"/>
        </w:rPr>
        <w:t>
      4. Планы помещений до реконструкции (перепланировки, переоборудования);</w:t>
      </w:r>
    </w:p>
    <w:bookmarkEnd w:id="22"/>
    <w:bookmarkStart w:name="z31" w:id="23"/>
    <w:p>
      <w:pPr>
        <w:spacing w:after="0"/>
        <w:ind w:left="0"/>
        <w:jc w:val="both"/>
      </w:pPr>
      <w:r>
        <w:rPr>
          <w:rFonts w:ascii="Times New Roman"/>
          <w:b w:val="false"/>
          <w:i w:val="false"/>
          <w:color w:val="000000"/>
          <w:sz w:val="28"/>
        </w:rPr>
        <w:t>
      5. Планы помещений после реконструкции (перепланировки, переоборудования);</w:t>
      </w:r>
    </w:p>
    <w:bookmarkEnd w:id="23"/>
    <w:bookmarkStart w:name="z32" w:id="24"/>
    <w:p>
      <w:pPr>
        <w:spacing w:after="0"/>
        <w:ind w:left="0"/>
        <w:jc w:val="both"/>
      </w:pPr>
      <w:r>
        <w:rPr>
          <w:rFonts w:ascii="Times New Roman"/>
          <w:b w:val="false"/>
          <w:i w:val="false"/>
          <w:color w:val="000000"/>
          <w:sz w:val="28"/>
        </w:rPr>
        <w:t>
      6. План кровли в масштабе 1:50; 1:100; 1:200; 1:400 (один из перечисленных) при изменении этажности и реконструкции путем строительства пристройки;</w:t>
      </w:r>
    </w:p>
    <w:bookmarkEnd w:id="24"/>
    <w:bookmarkStart w:name="z33" w:id="25"/>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здания, выбора материалов отделки и цветового решения фасадов, с описанием состояния демонтируемых конструкций, с выводами о виде реконструкции (перепланировки, переоборудовании) - связана (не связана) с изменением несущих и ограждающих (наружных) конструкций, инженерных систем и оборудования.</w:t>
      </w:r>
    </w:p>
    <w:bookmarkEnd w:id="25"/>
    <w:bookmarkStart w:name="z34" w:id="26"/>
    <w:p>
      <w:pPr>
        <w:spacing w:after="0"/>
        <w:ind w:left="0"/>
        <w:jc w:val="both"/>
      </w:pPr>
      <w:r>
        <w:rPr>
          <w:rFonts w:ascii="Times New Roman"/>
          <w:b w:val="false"/>
          <w:i w:val="false"/>
          <w:color w:val="000000"/>
          <w:sz w:val="28"/>
        </w:rPr>
        <w:t>
      Состав и содержание эскиза (эскизного проекта), разрабатываемого для объекта наружной (визуальной) рекламы, размещаемого на открытом пространстве за пределами помещений в населенных пунктах, разработанного лицом либо проектной организацией, имеющей соответствующую лицензию:</w:t>
      </w:r>
    </w:p>
    <w:bookmarkEnd w:id="26"/>
    <w:bookmarkStart w:name="z35" w:id="27"/>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27"/>
    <w:bookmarkStart w:name="z36" w:id="28"/>
    <w:p>
      <w:pPr>
        <w:spacing w:after="0"/>
        <w:ind w:left="0"/>
        <w:jc w:val="both"/>
      </w:pPr>
      <w:r>
        <w:rPr>
          <w:rFonts w:ascii="Times New Roman"/>
          <w:b w:val="false"/>
          <w:i w:val="false"/>
          <w:color w:val="000000"/>
          <w:sz w:val="28"/>
        </w:rPr>
        <w:t>
      2. Дневное и ночное изображение объекта наружной (визуальной) рекламы;</w:t>
      </w:r>
    </w:p>
    <w:bookmarkEnd w:id="28"/>
    <w:bookmarkStart w:name="z37" w:id="29"/>
    <w:p>
      <w:pPr>
        <w:spacing w:after="0"/>
        <w:ind w:left="0"/>
        <w:jc w:val="both"/>
      </w:pPr>
      <w:r>
        <w:rPr>
          <w:rFonts w:ascii="Times New Roman"/>
          <w:b w:val="false"/>
          <w:i w:val="false"/>
          <w:color w:val="000000"/>
          <w:sz w:val="28"/>
        </w:rPr>
        <w:t>
      3. Конструктивные решения;</w:t>
      </w:r>
    </w:p>
    <w:bookmarkEnd w:id="29"/>
    <w:bookmarkStart w:name="z38" w:id="30"/>
    <w:p>
      <w:pPr>
        <w:spacing w:after="0"/>
        <w:ind w:left="0"/>
        <w:jc w:val="both"/>
      </w:pPr>
      <w:r>
        <w:rPr>
          <w:rFonts w:ascii="Times New Roman"/>
          <w:b w:val="false"/>
          <w:i w:val="false"/>
          <w:color w:val="000000"/>
          <w:sz w:val="28"/>
        </w:rPr>
        <w:t>
      4. Решение по инженерному обеспечению;</w:t>
      </w:r>
    </w:p>
    <w:bookmarkEnd w:id="30"/>
    <w:bookmarkStart w:name="z39" w:id="31"/>
    <w:p>
      <w:pPr>
        <w:spacing w:after="0"/>
        <w:ind w:left="0"/>
        <w:jc w:val="both"/>
      </w:pPr>
      <w:r>
        <w:rPr>
          <w:rFonts w:ascii="Times New Roman"/>
          <w:b w:val="false"/>
          <w:i w:val="false"/>
          <w:color w:val="000000"/>
          <w:sz w:val="28"/>
        </w:rPr>
        <w:t>
      5. Общие данные с изложением основных конструктивных и архитектурно-планировочных решений, выбора материалов и цветового решения.</w:t>
      </w:r>
    </w:p>
    <w:bookmarkEnd w:id="31"/>
    <w:bookmarkStart w:name="z40" w:id="32"/>
    <w:p>
      <w:pPr>
        <w:spacing w:after="0"/>
        <w:ind w:left="0"/>
        <w:jc w:val="both"/>
      </w:pPr>
      <w:r>
        <w:rPr>
          <w:rFonts w:ascii="Times New Roman"/>
          <w:b w:val="false"/>
          <w:i w:val="false"/>
          <w:color w:val="000000"/>
          <w:sz w:val="28"/>
        </w:rPr>
        <w:t>
      Состав и содержание эскиза (эскизного проекта) инженерных сетей, разработанного проектной организацией, имеющей соответствующую лицензию:</w:t>
      </w:r>
    </w:p>
    <w:bookmarkEnd w:id="32"/>
    <w:bookmarkStart w:name="z41" w:id="33"/>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33"/>
    <w:bookmarkStart w:name="z42" w:id="34"/>
    <w:p>
      <w:pPr>
        <w:spacing w:after="0"/>
        <w:ind w:left="0"/>
        <w:jc w:val="both"/>
      </w:pPr>
      <w:r>
        <w:rPr>
          <w:rFonts w:ascii="Times New Roman"/>
          <w:b w:val="false"/>
          <w:i w:val="false"/>
          <w:color w:val="000000"/>
          <w:sz w:val="28"/>
        </w:rPr>
        <w:t>
      2. Генеральный план, на который наносятся проектируемые и существующие (сохраняемые и подлежащие сносу) здания, сооружения, строения, инженерные и транспортные коммуникации, элементы благоустройства и многолетние зеленые насаждения;</w:t>
      </w:r>
    </w:p>
    <w:bookmarkEnd w:id="34"/>
    <w:bookmarkStart w:name="z43" w:id="35"/>
    <w:p>
      <w:pPr>
        <w:spacing w:after="0"/>
        <w:ind w:left="0"/>
        <w:jc w:val="both"/>
      </w:pPr>
      <w:r>
        <w:rPr>
          <w:rFonts w:ascii="Times New Roman"/>
          <w:b w:val="false"/>
          <w:i w:val="false"/>
          <w:color w:val="000000"/>
          <w:sz w:val="28"/>
        </w:rPr>
        <w:t>
      3. Планы инженерных сетей;</w:t>
      </w:r>
    </w:p>
    <w:bookmarkEnd w:id="35"/>
    <w:bookmarkStart w:name="z44" w:id="36"/>
    <w:p>
      <w:pPr>
        <w:spacing w:after="0"/>
        <w:ind w:left="0"/>
        <w:jc w:val="both"/>
      </w:pPr>
      <w:r>
        <w:rPr>
          <w:rFonts w:ascii="Times New Roman"/>
          <w:b w:val="false"/>
          <w:i w:val="false"/>
          <w:color w:val="000000"/>
          <w:sz w:val="28"/>
        </w:rPr>
        <w:t>
      4. Профили инженерных сетей;</w:t>
      </w:r>
    </w:p>
    <w:bookmarkEnd w:id="36"/>
    <w:bookmarkStart w:name="z45" w:id="37"/>
    <w:p>
      <w:pPr>
        <w:spacing w:after="0"/>
        <w:ind w:left="0"/>
        <w:jc w:val="both"/>
      </w:pPr>
      <w:r>
        <w:rPr>
          <w:rFonts w:ascii="Times New Roman"/>
          <w:b w:val="false"/>
          <w:i w:val="false"/>
          <w:color w:val="000000"/>
          <w:sz w:val="28"/>
        </w:rPr>
        <w:t>
      5. Конструктивные и строительные решения;</w:t>
      </w:r>
    </w:p>
    <w:bookmarkEnd w:id="37"/>
    <w:bookmarkStart w:name="z46" w:id="38"/>
    <w:p>
      <w:pPr>
        <w:spacing w:after="0"/>
        <w:ind w:left="0"/>
        <w:jc w:val="both"/>
      </w:pPr>
      <w:r>
        <w:rPr>
          <w:rFonts w:ascii="Times New Roman"/>
          <w:b w:val="false"/>
          <w:i w:val="false"/>
          <w:color w:val="000000"/>
          <w:sz w:val="28"/>
        </w:rPr>
        <w:t>
      6. Спецификации;</w:t>
      </w:r>
    </w:p>
    <w:bookmarkEnd w:id="38"/>
    <w:bookmarkStart w:name="z47" w:id="39"/>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по расположению (прокладке) инженерных сетей и коммуникаций, выбора материалов, инженерно-технические мероприятия по обеспечению безопасности эксплуатации, мероприятия по защите окружающей среды, а также по благоустройству и озеленению участка с приведением основных объемно-планировочных показателей (пропускная способность, мощность, объем, протяженность, площади застройки, озелененных и благоустроенных участков, материалы).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"Утверждаю"</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53" w:id="40"/>
    <w:p>
      <w:pPr>
        <w:spacing w:after="0"/>
        <w:ind w:left="0"/>
        <w:jc w:val="left"/>
      </w:pPr>
      <w:r>
        <w:rPr>
          <w:rFonts w:ascii="Times New Roman"/>
          <w:b/>
          <w:i w:val="false"/>
          <w:color w:val="000000"/>
        </w:rPr>
        <w:t xml:space="preserve"> Жобалауға арналған сәулет-жоспарлау тапсырмасы (СЖТ)</w:t>
      </w:r>
      <w:r>
        <w:br/>
      </w:r>
      <w:r>
        <w:rPr>
          <w:rFonts w:ascii="Times New Roman"/>
          <w:b/>
          <w:i w:val="false"/>
          <w:color w:val="000000"/>
        </w:rPr>
        <w:t>Архитектурно – планировочное задание на проектирование (АПЗ)</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от "__"______ 20____ года</w:t>
            </w:r>
            <w:r>
              <w:br/>
            </w:r>
            <w:r>
              <w:rPr>
                <w:rFonts w:ascii="Times New Roman"/>
                <w:b w:val="false"/>
                <w:i w:val="false"/>
                <w:color w:val="000000"/>
                <w:sz w:val="20"/>
              </w:rPr>
              <w:t>№__ 20___ жылғы "__"________</w:t>
            </w:r>
          </w:p>
        </w:tc>
      </w:tr>
    </w:tbl>
    <w:p>
      <w:pPr>
        <w:spacing w:after="0"/>
        <w:ind w:left="0"/>
        <w:jc w:val="both"/>
      </w:pPr>
      <w:bookmarkStart w:name="z55" w:id="41"/>
      <w:r>
        <w:rPr>
          <w:rFonts w:ascii="Times New Roman"/>
          <w:b w:val="false"/>
          <w:i w:val="false"/>
          <w:color w:val="000000"/>
          <w:sz w:val="28"/>
        </w:rPr>
        <w:t>
      Объектінің атауы: __________________________________________________________________</w:t>
      </w:r>
    </w:p>
    <w:bookmarkEnd w:id="41"/>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Тапсырыс беруші (құрылыс салушы, инвестор): _________________________________________</w:t>
      </w:r>
    </w:p>
    <w:p>
      <w:pPr>
        <w:spacing w:after="0"/>
        <w:ind w:left="0"/>
        <w:jc w:val="both"/>
      </w:pPr>
      <w:r>
        <w:rPr>
          <w:rFonts w:ascii="Times New Roman"/>
          <w:b w:val="false"/>
          <w:i w:val="false"/>
          <w:color w:val="000000"/>
          <w:sz w:val="28"/>
        </w:rPr>
        <w:t>Заказчик (застройщик, инвестор):</w:t>
      </w:r>
    </w:p>
    <w:p>
      <w:pPr>
        <w:spacing w:after="0"/>
        <w:ind w:left="0"/>
        <w:jc w:val="both"/>
      </w:pPr>
      <w:r>
        <w:rPr>
          <w:rFonts w:ascii="Times New Roman"/>
          <w:b w:val="false"/>
          <w:i w:val="false"/>
          <w:color w:val="000000"/>
          <w:sz w:val="28"/>
        </w:rPr>
        <w:t>Объектінің мекенжайы ______________________________________________________________</w:t>
      </w:r>
    </w:p>
    <w:p>
      <w:pPr>
        <w:spacing w:after="0"/>
        <w:ind w:left="0"/>
        <w:jc w:val="both"/>
      </w:pPr>
      <w:r>
        <w:rPr>
          <w:rFonts w:ascii="Times New Roman"/>
          <w:b w:val="false"/>
          <w:i w:val="false"/>
          <w:color w:val="000000"/>
          <w:sz w:val="28"/>
        </w:rPr>
        <w:t>Адрес объекта</w:t>
      </w:r>
    </w:p>
    <w:p>
      <w:pPr>
        <w:spacing w:after="0"/>
        <w:ind w:left="0"/>
        <w:jc w:val="both"/>
      </w:pPr>
      <w:r>
        <w:rPr>
          <w:rFonts w:ascii="Times New Roman"/>
          <w:b w:val="false"/>
          <w:i w:val="false"/>
          <w:color w:val="000000"/>
          <w:sz w:val="28"/>
        </w:rPr>
        <w:t>Қала (елді мекен), жыл ______________________________________________________________</w:t>
      </w:r>
    </w:p>
    <w:p>
      <w:pPr>
        <w:spacing w:after="0"/>
        <w:ind w:left="0"/>
        <w:jc w:val="both"/>
      </w:pPr>
      <w:r>
        <w:rPr>
          <w:rFonts w:ascii="Times New Roman"/>
          <w:b w:val="false"/>
          <w:i w:val="false"/>
          <w:color w:val="000000"/>
          <w:sz w:val="28"/>
        </w:rPr>
        <w:t>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bookmarkEnd w:id="42"/>
          <w:p>
            <w:pPr>
              <w:spacing w:after="20"/>
              <w:ind w:left="20"/>
              <w:jc w:val="both"/>
            </w:pPr>
            <w:r>
              <w:rPr>
                <w:rFonts w:ascii="Times New Roman"/>
                <w:b w:val="false"/>
                <w:i w:val="false"/>
                <w:color w:val="000000"/>
                <w:sz w:val="20"/>
              </w:rPr>
              <w:t>
 Жер учаскесін таңдау актісі (СЖТ-сын жер учаскесімен бірге беру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w:t>
            </w:r>
          </w:p>
          <w:bookmarkEnd w:id="43"/>
          <w:p>
            <w:pPr>
              <w:spacing w:after="20"/>
              <w:ind w:left="20"/>
              <w:jc w:val="both"/>
            </w:pP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
Акт выбора земельного участка (при выдаче АПЗ вместе с земельным участком)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Учаскенің орналасқан жері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описание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описание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Планировочная система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Объемно-пространственное решение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проектом детальной планировки, вертикальными планировочными отметками прилегающих улиц, требованиями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Қысқаша сипаттамасы</w:t>
            </w:r>
          </w:p>
          <w:bookmarkEnd w:id="44"/>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Қысқаша сипаттамасы</w:t>
            </w:r>
          </w:p>
          <w:bookmarkEnd w:id="45"/>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туралы" Қазақстан Республикасының Заңының 21-бабына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Предусмотреть рекламно-информационные установки согласно </w:t>
            </w:r>
            <w:r>
              <w:rPr>
                <w:rFonts w:ascii="Times New Roman"/>
                <w:b w:val="false"/>
                <w:i w:val="false"/>
                <w:color w:val="000000"/>
                <w:sz w:val="20"/>
              </w:rPr>
              <w:t>статье 21</w:t>
            </w:r>
            <w:r>
              <w:rPr>
                <w:rFonts w:ascii="Times New Roman"/>
                <w:b w:val="false"/>
                <w:i w:val="false"/>
                <w:color w:val="000000"/>
                <w:sz w:val="20"/>
              </w:rPr>
              <w:t xml:space="preserve"> Закона Республики Казахстан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мүгедектігі бар адамдардың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жизнедеятельности маломобильных групп населения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лиц с инвалидностью к зданию, предусмотреть пандусы, специальные подъездные пути и устройства для проезда инвалидных колясок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Ограждающие конструкции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құжаттардың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(№__ и дата выдачи ТУ) и требованиям нормативных документов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Стационарные поливочные системы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игеруге инженерлік-геологиялық зерттеуді өткізгеннен, геодезиялық орналастырылғаннан және оның шекарасы нақты (жергілікті жерге) бекітілгеннен кейін кірісу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Приступать к освоению земельного участка разрешается после проведения инженерно-геологического исследования, геодезического выноса и закрепления его границ в натуре (на местности)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имараттарды бұзу (көшіру) бойынша По сносу (переносу) существующих строений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қысқаша сипаттамасы При необходимости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переносу существующих подземных и надземных инженерных коммуникаций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на перенос (вынос) либо на проведения мероприятия по защите сетей и сооружений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сақтау және/немесе отырғызу бойынша 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уақытша қоршау құрылысы бойынша По строительству временного ограждения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1.Ғимараттағы ауа баптау жүйесін жобалау кезінде (жобада орталықтандырылған суық сумен жабдықтау және ауа баптау қарастырылмағанда)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p>
            <w:pPr>
              <w:spacing w:after="20"/>
              <w:ind w:left="20"/>
              <w:jc w:val="both"/>
            </w:pPr>
            <w:r>
              <w:rPr>
                <w:rFonts w:ascii="Times New Roman"/>
                <w:b w:val="false"/>
                <w:i w:val="false"/>
                <w:color w:val="000000"/>
                <w:sz w:val="20"/>
              </w:rPr>
              <w:t>2.Ресурс үнемдеу және қазіргі заманғы энергия үнемдеу технологиялары бойынша материалдарды қолдану.</w:t>
            </w:r>
          </w:p>
          <w:p>
            <w:pPr>
              <w:spacing w:after="20"/>
              <w:ind w:left="20"/>
              <w:jc w:val="both"/>
            </w:pPr>
            <w:r>
              <w:rPr>
                <w:rFonts w:ascii="Times New Roman"/>
                <w:b w:val="false"/>
                <w:i w:val="false"/>
                <w:color w:val="000000"/>
                <w:sz w:val="20"/>
              </w:rPr>
              <w:t>1. При проектировании системы кондиционирования в здании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p>
            <w:pPr>
              <w:spacing w:after="20"/>
              <w:ind w:left="20"/>
              <w:jc w:val="both"/>
            </w:pPr>
            <w:r>
              <w:rPr>
                <w:rFonts w:ascii="Times New Roman"/>
                <w:b w:val="false"/>
                <w:i w:val="false"/>
                <w:color w:val="000000"/>
                <w:sz w:val="20"/>
              </w:rPr>
              <w:t>2. Применить материалы по ресурсосбережению и современных энергосберегающих технологий.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 (жаңа құрылыс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жобасына сараптама жүргізу ("Қазақстан Республикасындағы сәулет, қала құрылысы және құрылыс қызметі туралы" Қазақстан Республикасы Занының 64-1-бабына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 (при новом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Провести экспертизу проекта строительства (согласно </w:t>
            </w:r>
            <w:r>
              <w:rPr>
                <w:rFonts w:ascii="Times New Roman"/>
                <w:b w:val="false"/>
                <w:i w:val="false"/>
                <w:color w:val="000000"/>
                <w:sz w:val="20"/>
              </w:rPr>
              <w:t>статьи 64-1</w:t>
            </w:r>
            <w:r>
              <w:rPr>
                <w:rFonts w:ascii="Times New Roman"/>
                <w:b w:val="false"/>
                <w:i w:val="false"/>
                <w:color w:val="000000"/>
                <w:sz w:val="20"/>
              </w:rPr>
              <w:t xml:space="preserve"> Закона Республики Казахстан "Об архитектурной, градостроительной и строительной деятельности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Подать уведомление о начале строительно-монтажных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объекта (тип приемки).</w:t>
            </w:r>
          </w:p>
        </w:tc>
      </w:tr>
    </w:tbl>
    <w:bookmarkStart w:name="z60" w:id="46"/>
    <w:p>
      <w:pPr>
        <w:spacing w:after="0"/>
        <w:ind w:left="0"/>
        <w:jc w:val="both"/>
      </w:pPr>
      <w:r>
        <w:rPr>
          <w:rFonts w:ascii="Times New Roman"/>
          <w:b w:val="false"/>
          <w:i w:val="false"/>
          <w:color w:val="000000"/>
          <w:sz w:val="28"/>
        </w:rPr>
        <w:t>
      1. Жер учаскесін таңдау актісі негізінде СЖТ берілгенде, СЖТ жер учаскесіне тиісті құқық туындаған кезден бастап күшіне енеді.</w:t>
      </w:r>
    </w:p>
    <w:bookmarkEnd w:id="46"/>
    <w:bookmarkStart w:name="z61" w:id="47"/>
    <w:p>
      <w:pPr>
        <w:spacing w:after="0"/>
        <w:ind w:left="0"/>
        <w:jc w:val="both"/>
      </w:pPr>
      <w:r>
        <w:rPr>
          <w:rFonts w:ascii="Times New Roman"/>
          <w:b w:val="false"/>
          <w:i w:val="false"/>
          <w:color w:val="000000"/>
          <w:sz w:val="28"/>
        </w:rPr>
        <w:t>
      СЖТ және ТШ жобалау (жобалау-сметалық) құжаттаманың құрамында бекітілген құрылыстың бүкіл нормативтік ұзақтығының мерзімі шегінде қолданылады.</w:t>
      </w:r>
    </w:p>
    <w:bookmarkEnd w:id="47"/>
    <w:bookmarkStart w:name="z62" w:id="48"/>
    <w:p>
      <w:pPr>
        <w:spacing w:after="0"/>
        <w:ind w:left="0"/>
        <w:jc w:val="both"/>
      </w:pPr>
      <w:r>
        <w:rPr>
          <w:rFonts w:ascii="Times New Roman"/>
          <w:b w:val="false"/>
          <w:i w:val="false"/>
          <w:color w:val="000000"/>
          <w:sz w:val="28"/>
        </w:rPr>
        <w:t>
      При предоставлении АПЗ на основании акта выбора земельного участка, АПЗ вступает в силу с момента возникновения соответствующего права на земельный участок.</w:t>
      </w:r>
    </w:p>
    <w:bookmarkEnd w:id="48"/>
    <w:bookmarkStart w:name="z63" w:id="49"/>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49"/>
    <w:bookmarkStart w:name="z64" w:id="50"/>
    <w:p>
      <w:pPr>
        <w:spacing w:after="0"/>
        <w:ind w:left="0"/>
        <w:jc w:val="both"/>
      </w:pPr>
      <w:r>
        <w:rPr>
          <w:rFonts w:ascii="Times New Roman"/>
          <w:b w:val="false"/>
          <w:i w:val="false"/>
          <w:color w:val="000000"/>
          <w:sz w:val="28"/>
        </w:rPr>
        <w:t>
      2. СЖТ-да жазылған талаптар мен шарттар меншік нысанына және қаржыландыру көздеріне қарамастан инвестициялық процестің барлық қатысушылармен орындалады.</w:t>
      </w:r>
    </w:p>
    <w:bookmarkEnd w:id="50"/>
    <w:bookmarkStart w:name="z65" w:id="51"/>
    <w:p>
      <w:pPr>
        <w:spacing w:after="0"/>
        <w:ind w:left="0"/>
        <w:jc w:val="both"/>
      </w:pPr>
      <w:r>
        <w:rPr>
          <w:rFonts w:ascii="Times New Roman"/>
          <w:b w:val="false"/>
          <w:i w:val="false"/>
          <w:color w:val="000000"/>
          <w:sz w:val="28"/>
        </w:rPr>
        <w:t>
      Требования и условия, изложенные в АПЗ, выполняются всеми участниками инвестиционного процесса независимо от форм собственности и источников финансирования.</w:t>
      </w:r>
    </w:p>
    <w:bookmarkEnd w:id="51"/>
    <w:bookmarkStart w:name="z66" w:id="52"/>
    <w:p>
      <w:pPr>
        <w:spacing w:after="0"/>
        <w:ind w:left="0"/>
        <w:jc w:val="both"/>
      </w:pPr>
      <w:r>
        <w:rPr>
          <w:rFonts w:ascii="Times New Roman"/>
          <w:b w:val="false"/>
          <w:i w:val="false"/>
          <w:color w:val="000000"/>
          <w:sz w:val="28"/>
        </w:rPr>
        <w:t>
      3. Тапсырыс берушінің СЖТ-да қамтылған талаптармен келіспеуі сот тәртібімен шағымдалуы мүмкін.</w:t>
      </w:r>
    </w:p>
    <w:bookmarkEnd w:id="52"/>
    <w:bookmarkStart w:name="z67" w:id="53"/>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