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e042" w14:textId="f0de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13 октября 2022 года № 1061. Зарегистрирован в Министерстве юстиции Республики Казахстан 20 октября 2022 года № 30253. Утратил силу приказом Министра финансов РК от 09.10.2024 № 687.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ff0000"/>
          <w:sz w:val="28"/>
        </w:rPr>
        <w:t>№ 687</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"12. Государственные закупки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1178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отечественных производителей товаров, работ и услуг либо представителей (дистрибьюторов или дилеров) производителей транспортных средств и сельскохозяйственной техники.</w:t>
      </w:r>
    </w:p>
    <w:bookmarkEnd w:id="3"/>
    <w:bookmarkStart w:name="z9" w:id="4"/>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bookmarkEnd w:id="4"/>
    <w:bookmarkStart w:name="z10" w:id="5"/>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настоящем пункте,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Республики Казахстан "Атамекен".</w:t>
      </w:r>
    </w:p>
    <w:bookmarkEnd w:id="5"/>
    <w:bookmarkStart w:name="z11" w:id="6"/>
    <w:p>
      <w:pPr>
        <w:spacing w:after="0"/>
        <w:ind w:left="0"/>
        <w:jc w:val="both"/>
      </w:pPr>
      <w:r>
        <w:rPr>
          <w:rFonts w:ascii="Times New Roman"/>
          <w:b w:val="false"/>
          <w:i w:val="false"/>
          <w:color w:val="000000"/>
          <w:sz w:val="28"/>
        </w:rPr>
        <w:t xml:space="preserve">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определенными </w:t>
      </w:r>
      <w:r>
        <w:rPr>
          <w:rFonts w:ascii="Times New Roman"/>
          <w:b w:val="false"/>
          <w:i w:val="false"/>
          <w:color w:val="000000"/>
          <w:sz w:val="28"/>
        </w:rPr>
        <w:t>статьей 13</w:t>
      </w:r>
      <w:r>
        <w:rPr>
          <w:rFonts w:ascii="Times New Roman"/>
          <w:b w:val="false"/>
          <w:i w:val="false"/>
          <w:color w:val="000000"/>
          <w:sz w:val="28"/>
        </w:rPr>
        <w:t xml:space="preserve"> Закона среди всех потенциальных поставщиков.";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"44. Потенциальный поставщик признается финансово устойчивым, если он соответствует в совокупности следующим условиям:</w:t>
      </w:r>
    </w:p>
    <w:bookmarkEnd w:id="7"/>
    <w:bookmarkStart w:name="z14" w:id="8"/>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bookmarkEnd w:id="8"/>
    <w:bookmarkStart w:name="z15" w:id="9"/>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9"/>
    <w:bookmarkStart w:name="z16" w:id="10"/>
    <w:p>
      <w:pPr>
        <w:spacing w:after="0"/>
        <w:ind w:left="0"/>
        <w:jc w:val="both"/>
      </w:pPr>
      <w:r>
        <w:rPr>
          <w:rFonts w:ascii="Times New Roman"/>
          <w:b w:val="false"/>
          <w:i w:val="false"/>
          <w:color w:val="000000"/>
          <w:sz w:val="28"/>
        </w:rPr>
        <w:t>
      Датой уплаченных налогов считается календарный год в котором уплачен налог.</w:t>
      </w:r>
    </w:p>
    <w:bookmarkEnd w:id="10"/>
    <w:bookmarkStart w:name="z17" w:id="11"/>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1"/>
    <w:bookmarkStart w:name="z18" w:id="12"/>
    <w:p>
      <w:pPr>
        <w:spacing w:after="0"/>
        <w:ind w:left="0"/>
        <w:jc w:val="both"/>
      </w:pPr>
      <w:r>
        <w:rPr>
          <w:rFonts w:ascii="Times New Roman"/>
          <w:b w:val="false"/>
          <w:i w:val="false"/>
          <w:color w:val="000000"/>
          <w:sz w:val="28"/>
        </w:rPr>
        <w:t>
      ПУН = УН / СД х 100 %,</w:t>
      </w:r>
    </w:p>
    <w:bookmarkEnd w:id="12"/>
    <w:bookmarkStart w:name="z19" w:id="13"/>
    <w:p>
      <w:pPr>
        <w:spacing w:after="0"/>
        <w:ind w:left="0"/>
        <w:jc w:val="both"/>
      </w:pPr>
      <w:r>
        <w:rPr>
          <w:rFonts w:ascii="Times New Roman"/>
          <w:b w:val="false"/>
          <w:i w:val="false"/>
          <w:color w:val="000000"/>
          <w:sz w:val="28"/>
        </w:rPr>
        <w:t>
      где:</w:t>
      </w:r>
    </w:p>
    <w:bookmarkEnd w:id="13"/>
    <w:bookmarkStart w:name="z20" w:id="14"/>
    <w:p>
      <w:pPr>
        <w:spacing w:after="0"/>
        <w:ind w:left="0"/>
        <w:jc w:val="both"/>
      </w:pPr>
      <w:r>
        <w:rPr>
          <w:rFonts w:ascii="Times New Roman"/>
          <w:b w:val="false"/>
          <w:i w:val="false"/>
          <w:color w:val="000000"/>
          <w:sz w:val="28"/>
        </w:rPr>
        <w:t>
      ПУН – показатель уплаченных налогов;</w:t>
      </w:r>
    </w:p>
    <w:bookmarkEnd w:id="14"/>
    <w:bookmarkStart w:name="z21" w:id="15"/>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5"/>
    <w:bookmarkStart w:name="z22" w:id="16"/>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6"/>
    <w:bookmarkStart w:name="z23" w:id="17"/>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7"/>
    <w:bookmarkStart w:name="z24" w:id="18"/>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"53. В случаях выявления органами государственных доходов фактов искажения, снижения, не отражения и/или необоснованного завышения показателей финансовой устойчивости,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19"/>
    <w:bookmarkStart w:name="z27" w:id="20"/>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w:t>
      </w:r>
    </w:p>
    <w:bookmarkEnd w:id="20"/>
    <w:bookmarkStart w:name="z28" w:id="21"/>
    <w:p>
      <w:pPr>
        <w:spacing w:after="0"/>
        <w:ind w:left="0"/>
        <w:jc w:val="both"/>
      </w:pPr>
      <w:r>
        <w:rPr>
          <w:rFonts w:ascii="Times New Roman"/>
          <w:b w:val="false"/>
          <w:i w:val="false"/>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bookmarkEnd w:id="21"/>
    <w:bookmarkStart w:name="z29" w:id="22"/>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меры по включению таких потенциальных поставщиков в реестр недобросовестных участников государственных закупок.";</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"58.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реставрация, реэкспозиция существующих объектов, благоустройство, обустройство) подтверждают обладание материальными и трудовыми ресурсами соответствующим разрешением (лицензия), выданным в соответствии с законодательством Республики Казахстан о разрешениях и уведомлениях.</w:t>
      </w:r>
    </w:p>
    <w:bookmarkEnd w:id="23"/>
    <w:bookmarkStart w:name="z32" w:id="24"/>
    <w:p>
      <w:pPr>
        <w:spacing w:after="0"/>
        <w:ind w:left="0"/>
        <w:jc w:val="both"/>
      </w:pPr>
      <w:r>
        <w:rPr>
          <w:rFonts w:ascii="Times New Roman"/>
          <w:b w:val="false"/>
          <w:i w:val="false"/>
          <w:color w:val="000000"/>
          <w:sz w:val="28"/>
        </w:rPr>
        <w:t>
      При этом, виды и подвиды соответствующего разрешения (лицензии) на строительно-монтажные работы являются аналогичными (схожими) предмету проводимых государственных закупок.</w:t>
      </w:r>
    </w:p>
    <w:bookmarkEnd w:id="24"/>
    <w:bookmarkStart w:name="z33" w:id="25"/>
    <w:p>
      <w:pPr>
        <w:spacing w:after="0"/>
        <w:ind w:left="0"/>
        <w:jc w:val="both"/>
      </w:pPr>
      <w:r>
        <w:rPr>
          <w:rFonts w:ascii="Times New Roman"/>
          <w:b w:val="false"/>
          <w:i w:val="false"/>
          <w:color w:val="000000"/>
          <w:sz w:val="28"/>
        </w:rPr>
        <w:t>
      В случае если предметом государственных закупок являются работы, не связанные со строительством (работы, не связанные с текущим или средним ремонтом, реставрацией, реэкспозицией существующих объектов, благоустройством, обустройством), потенциальный поставщик подтверждает обладание материальными и трудовыми ресурсами в порядке, определенном настоящими Правилами.";</w:t>
      </w:r>
    </w:p>
    <w:bookmarkEnd w:id="25"/>
    <w:bookmarkStart w:name="z34" w:id="26"/>
    <w:p>
      <w:pPr>
        <w:spacing w:after="0"/>
        <w:ind w:left="0"/>
        <w:jc w:val="both"/>
      </w:pPr>
      <w:r>
        <w:rPr>
          <w:rFonts w:ascii="Times New Roman"/>
          <w:b w:val="false"/>
          <w:i w:val="false"/>
          <w:color w:val="000000"/>
          <w:sz w:val="28"/>
        </w:rPr>
        <w:t>
      дополнить пунктами 59-1 и 59-2 следующего содержания:</w:t>
      </w:r>
    </w:p>
    <w:bookmarkEnd w:id="26"/>
    <w:bookmarkStart w:name="z35" w:id="27"/>
    <w:p>
      <w:pPr>
        <w:spacing w:after="0"/>
        <w:ind w:left="0"/>
        <w:jc w:val="both"/>
      </w:pPr>
      <w:r>
        <w:rPr>
          <w:rFonts w:ascii="Times New Roman"/>
          <w:b w:val="false"/>
          <w:i w:val="false"/>
          <w:color w:val="000000"/>
          <w:sz w:val="28"/>
        </w:rPr>
        <w:t>
      "59-1. В случае, если предметом конкурса (лота) являются инжиниринговые услуги по техническому надзору на технически и технологически сложных объектах первого и второго уровней ответственности и (или) управлению проектами обладание материальными ресурсами подтверждается соответствующим разрешением (уведомлением), выданным юридическим лицам, осуществляющим инжиниринговые услуги по техническому надзору и (или) управлению проектами в соответствии с законодательством Республики Казахстан о разрешениях и уведомлениях.</w:t>
      </w:r>
    </w:p>
    <w:bookmarkEnd w:id="27"/>
    <w:bookmarkStart w:name="z36" w:id="28"/>
    <w:p>
      <w:pPr>
        <w:spacing w:after="0"/>
        <w:ind w:left="0"/>
        <w:jc w:val="both"/>
      </w:pPr>
      <w:r>
        <w:rPr>
          <w:rFonts w:ascii="Times New Roman"/>
          <w:b w:val="false"/>
          <w:i w:val="false"/>
          <w:color w:val="000000"/>
          <w:sz w:val="28"/>
        </w:rPr>
        <w:t>
      59-2. В случае, если предметом конкурса (лота) являются инжиниринговые услуги по техническому надзору на технически несложных объектах второго и третьего уровней ответственности и участия в нем потенциального поставщика, являющегося физическим лицом, имеющим аттестат эксперта технического надзора, осуществляющего деятельность на технически несложных объектах второго и третьего уровней ответственности, обладание материальными ресурсами подтверждается средствами измерения и контроля (на праве собственности или аренды), аккредитованной лабораторией (на праве собственности или аренды) и нормативной документацией.</w:t>
      </w:r>
    </w:p>
    <w:bookmarkEnd w:id="28"/>
    <w:bookmarkStart w:name="z37" w:id="29"/>
    <w:p>
      <w:pPr>
        <w:spacing w:after="0"/>
        <w:ind w:left="0"/>
        <w:jc w:val="both"/>
      </w:pPr>
      <w:r>
        <w:rPr>
          <w:rFonts w:ascii="Times New Roman"/>
          <w:b w:val="false"/>
          <w:i w:val="false"/>
          <w:color w:val="000000"/>
          <w:sz w:val="28"/>
        </w:rPr>
        <w:t>
      При этом требования о наличии иных материальных ресурсов, не предусмотренных частью первой настоящего пункта, не устанавливаются.</w:t>
      </w:r>
    </w:p>
    <w:bookmarkEnd w:id="29"/>
    <w:bookmarkStart w:name="z38" w:id="30"/>
    <w:p>
      <w:pPr>
        <w:spacing w:after="0"/>
        <w:ind w:left="0"/>
        <w:jc w:val="both"/>
      </w:pPr>
      <w:r>
        <w:rPr>
          <w:rFonts w:ascii="Times New Roman"/>
          <w:b w:val="false"/>
          <w:i w:val="false"/>
          <w:color w:val="000000"/>
          <w:sz w:val="28"/>
        </w:rPr>
        <w:t>
      Потенциальные поставщики, имеющие разрешение (уведомление) на инжиниринговые услуги по техническому надзору на технически и технологически сложных объектах первого и второго уровней ответственности и (или) управлению проектами и участвующие в государственных закупках инжиниринговых услуг по техническому надзору на технически несложных объектах второго и третьего уровней ответственности признаются соответствующими квалификационным требованиям в части обладания материальными ресурсами, предусмотренными в конкурсной документации.";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"92.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финансируемым за счет внебюджетных средств ведомством уполномоченного органа и его территориальными подразделениями, рассматриваются с учетом следующих условий:</w:t>
      </w:r>
    </w:p>
    <w:bookmarkEnd w:id="31"/>
    <w:bookmarkStart w:name="z41" w:id="32"/>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 технически сложным объектам, подтверждаются:</w:t>
      </w:r>
    </w:p>
    <w:bookmarkEnd w:id="32"/>
    <w:bookmarkStart w:name="z42" w:id="33"/>
    <w:p>
      <w:pPr>
        <w:spacing w:after="0"/>
        <w:ind w:left="0"/>
        <w:jc w:val="both"/>
      </w:pPr>
      <w:r>
        <w:rPr>
          <w:rFonts w:ascii="Times New Roman"/>
          <w:b w:val="false"/>
          <w:i w:val="false"/>
          <w:color w:val="000000"/>
          <w:sz w:val="28"/>
        </w:rPr>
        <w:t>
      заказчиком (в случае реорганизации – правопреемником заказчика) и (или) собственником;</w:t>
      </w:r>
    </w:p>
    <w:bookmarkEnd w:id="33"/>
    <w:bookmarkStart w:name="z43" w:id="34"/>
    <w:p>
      <w:pPr>
        <w:spacing w:after="0"/>
        <w:ind w:left="0"/>
        <w:jc w:val="both"/>
      </w:pPr>
      <w:r>
        <w:rPr>
          <w:rFonts w:ascii="Times New Roman"/>
          <w:b w:val="false"/>
          <w:i w:val="false"/>
          <w:color w:val="000000"/>
          <w:sz w:val="28"/>
        </w:rPr>
        <w:t>
      органом, осуществляющим функции в области архитектуры и градостроительства либо органом, осуществляющим государственный архитектурно-строительный контроль либо уполномоченным органом в сфере государственной регистрации прав на недвижимое имущество по месту нахождения объекта строительства.</w:t>
      </w:r>
    </w:p>
    <w:bookmarkEnd w:id="34"/>
    <w:bookmarkStart w:name="z44" w:id="35"/>
    <w:p>
      <w:pPr>
        <w:spacing w:after="0"/>
        <w:ind w:left="0"/>
        <w:jc w:val="both"/>
      </w:pPr>
      <w:r>
        <w:rPr>
          <w:rFonts w:ascii="Times New Roman"/>
          <w:b w:val="false"/>
          <w:i w:val="false"/>
          <w:color w:val="000000"/>
          <w:sz w:val="28"/>
        </w:rPr>
        <w:t>
      При этом такое подтверждение осуществляется на основании обращений потенциальных поставщиков письмами от не менее двух из вышеуказанных лиц, представленных посредством веб-портала с использованием электронной цифровой подписи таких лиц.</w:t>
      </w:r>
    </w:p>
    <w:bookmarkEnd w:id="35"/>
    <w:bookmarkStart w:name="z45" w:id="36"/>
    <w:p>
      <w:pPr>
        <w:spacing w:after="0"/>
        <w:ind w:left="0"/>
        <w:jc w:val="both"/>
      </w:pPr>
      <w:r>
        <w:rPr>
          <w:rFonts w:ascii="Times New Roman"/>
          <w:b w:val="false"/>
          <w:i w:val="false"/>
          <w:color w:val="000000"/>
          <w:sz w:val="28"/>
        </w:rPr>
        <w:t>
      В случае отсутствия у заказчика объекта строительства возможности подтверждения посредством веб-портала, потенциальный поставщик прикладывает к заявке электронную копию письма, полученного от него;</w:t>
      </w:r>
    </w:p>
    <w:bookmarkEnd w:id="36"/>
    <w:bookmarkStart w:name="z46" w:id="37"/>
    <w:p>
      <w:pPr>
        <w:spacing w:after="0"/>
        <w:ind w:left="0"/>
        <w:jc w:val="both"/>
      </w:pPr>
      <w:r>
        <w:rPr>
          <w:rFonts w:ascii="Times New Roman"/>
          <w:b w:val="false"/>
          <w:i w:val="false"/>
          <w:color w:val="000000"/>
          <w:sz w:val="28"/>
        </w:rPr>
        <w:t>
      2) достоверность сведений и документов, указанных в заявке потенциального поставщика по объектам, финансируемым за счет внебюджетных средств, подтверждаются:</w:t>
      </w:r>
    </w:p>
    <w:bookmarkEnd w:id="37"/>
    <w:bookmarkStart w:name="z47" w:id="38"/>
    <w:p>
      <w:pPr>
        <w:spacing w:after="0"/>
        <w:ind w:left="0"/>
        <w:jc w:val="both"/>
      </w:pPr>
      <w:r>
        <w:rPr>
          <w:rFonts w:ascii="Times New Roman"/>
          <w:b w:val="false"/>
          <w:i w:val="false"/>
          <w:color w:val="000000"/>
          <w:sz w:val="28"/>
        </w:rPr>
        <w:t>
      заказчиком или собственником;</w:t>
      </w:r>
    </w:p>
    <w:bookmarkEnd w:id="38"/>
    <w:bookmarkStart w:name="z48" w:id="39"/>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 по месту нахождения объекта строительства;</w:t>
      </w:r>
    </w:p>
    <w:bookmarkEnd w:id="39"/>
    <w:bookmarkStart w:name="z49" w:id="40"/>
    <w:p>
      <w:pPr>
        <w:spacing w:after="0"/>
        <w:ind w:left="0"/>
        <w:jc w:val="both"/>
      </w:pPr>
      <w:r>
        <w:rPr>
          <w:rFonts w:ascii="Times New Roman"/>
          <w:b w:val="false"/>
          <w:i w:val="false"/>
          <w:color w:val="000000"/>
          <w:sz w:val="28"/>
        </w:rPr>
        <w:t>
      местным исполнительным органом, осуществляющим функции в области архитектуры и градостроительства по месту нахождения объекта строительства в случаях введения объекта в эксплуатацию с 1 января 2016 года;</w:t>
      </w:r>
    </w:p>
    <w:bookmarkEnd w:id="40"/>
    <w:bookmarkStart w:name="z50" w:id="41"/>
    <w:p>
      <w:pPr>
        <w:spacing w:after="0"/>
        <w:ind w:left="0"/>
        <w:jc w:val="both"/>
      </w:pPr>
      <w:r>
        <w:rPr>
          <w:rFonts w:ascii="Times New Roman"/>
          <w:b w:val="false"/>
          <w:i w:val="false"/>
          <w:color w:val="000000"/>
          <w:sz w:val="28"/>
        </w:rPr>
        <w:t>
      иными физическими и юридическими лицами, связанными с приемкой построенного объекта в эксплуатацию собственником самостоятельно в случаях введения объекта в эксплуатацию до 1 января 2016 года.</w:t>
      </w:r>
    </w:p>
    <w:bookmarkEnd w:id="41"/>
    <w:bookmarkStart w:name="z51" w:id="42"/>
    <w:p>
      <w:pPr>
        <w:spacing w:after="0"/>
        <w:ind w:left="0"/>
        <w:jc w:val="both"/>
      </w:pPr>
      <w:r>
        <w:rPr>
          <w:rFonts w:ascii="Times New Roman"/>
          <w:b w:val="false"/>
          <w:i w:val="false"/>
          <w:color w:val="000000"/>
          <w:sz w:val="28"/>
        </w:rPr>
        <w:t>
      При этом такое подтверждение осуществляется на основании обращений потенциальных поставщиков письмами от не менее двух вышеуказанных лиц, представленных посредством веб-портала с использованием электронной цифровой подписи таких лиц;</w:t>
      </w:r>
    </w:p>
    <w:bookmarkEnd w:id="42"/>
    <w:bookmarkStart w:name="z52" w:id="43"/>
    <w:p>
      <w:pPr>
        <w:spacing w:after="0"/>
        <w:ind w:left="0"/>
        <w:jc w:val="both"/>
      </w:pPr>
      <w:r>
        <w:rPr>
          <w:rFonts w:ascii="Times New Roman"/>
          <w:b w:val="false"/>
          <w:i w:val="false"/>
          <w:color w:val="000000"/>
          <w:sz w:val="28"/>
        </w:rPr>
        <w:t>
      В случае отсутствия у лиц, указанных в абзаце втором и пятом настоящего подпункта возможности подтверждения посредством веб-портала, потенциальный поставщик прикладывает к заявке электронную копию письма, полученного от него;</w:t>
      </w:r>
    </w:p>
    <w:bookmarkEnd w:id="43"/>
    <w:bookmarkStart w:name="z53" w:id="44"/>
    <w:p>
      <w:pPr>
        <w:spacing w:after="0"/>
        <w:ind w:left="0"/>
        <w:jc w:val="both"/>
      </w:pPr>
      <w:r>
        <w:rPr>
          <w:rFonts w:ascii="Times New Roman"/>
          <w:b w:val="false"/>
          <w:i w:val="false"/>
          <w:color w:val="000000"/>
          <w:sz w:val="28"/>
        </w:rPr>
        <w:t xml:space="preserve">
      3) соответствие документов, подтверждающих опыт работы потенциального поставщика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44"/>
    <w:bookmarkStart w:name="z54" w:id="45"/>
    <w:p>
      <w:pPr>
        <w:spacing w:after="0"/>
        <w:ind w:left="0"/>
        <w:jc w:val="both"/>
      </w:pPr>
      <w:r>
        <w:rPr>
          <w:rFonts w:ascii="Times New Roman"/>
          <w:b w:val="false"/>
          <w:i w:val="false"/>
          <w:color w:val="000000"/>
          <w:sz w:val="28"/>
        </w:rPr>
        <w:t>
      В случае несоответствия документов требованиям, указанным в части первой настоящего подпункта, такие документы признаются достоверными и вносятся в электронный депозитарий в случаях, если имеется подтверждение достоверности таких документов:</w:t>
      </w:r>
    </w:p>
    <w:bookmarkEnd w:id="45"/>
    <w:bookmarkStart w:name="z55" w:id="46"/>
    <w:p>
      <w:pPr>
        <w:spacing w:after="0"/>
        <w:ind w:left="0"/>
        <w:jc w:val="both"/>
      </w:pPr>
      <w:r>
        <w:rPr>
          <w:rFonts w:ascii="Times New Roman"/>
          <w:b w:val="false"/>
          <w:i w:val="false"/>
          <w:color w:val="000000"/>
          <w:sz w:val="28"/>
        </w:rPr>
        <w:t>
      от не менее двух уполномоченных органов и лиц, указанных в подпунктах 1) и 2) настоящего пункта;</w:t>
      </w:r>
    </w:p>
    <w:bookmarkEnd w:id="46"/>
    <w:bookmarkStart w:name="z56" w:id="47"/>
    <w:p>
      <w:pPr>
        <w:spacing w:after="0"/>
        <w:ind w:left="0"/>
        <w:jc w:val="both"/>
      </w:pPr>
      <w:r>
        <w:rPr>
          <w:rFonts w:ascii="Times New Roman"/>
          <w:b w:val="false"/>
          <w:i w:val="false"/>
          <w:color w:val="000000"/>
          <w:sz w:val="28"/>
        </w:rPr>
        <w:t>
      вступившим в законную силу судебных актов.";</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58" w:id="48"/>
    <w:p>
      <w:pPr>
        <w:spacing w:after="0"/>
        <w:ind w:left="0"/>
        <w:jc w:val="both"/>
      </w:pPr>
      <w:r>
        <w:rPr>
          <w:rFonts w:ascii="Times New Roman"/>
          <w:b w:val="false"/>
          <w:i w:val="false"/>
          <w:color w:val="000000"/>
          <w:sz w:val="28"/>
        </w:rPr>
        <w:t>
      "97. Сведения и документы, подтверждающие опыт работы потенциального поставщика, вносятся в электронный депозитарий со статусом "Подтверждено" в случае принятия решения, предусмотренного подпунктом 1) пункта 96 настоящих Правил.";</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"99. Корректировка сведений, внесенных в электронный депозитарий, в том числе сведений со статусом "Подтверждено" осуществляется в случае несоответствия заполненных в электронном депозитарии сведений к представленным документам, подтверждающих опыт работы в части:</w:t>
      </w:r>
    </w:p>
    <w:bookmarkEnd w:id="49"/>
    <w:bookmarkStart w:name="z61" w:id="50"/>
    <w:p>
      <w:pPr>
        <w:spacing w:after="0"/>
        <w:ind w:left="0"/>
        <w:jc w:val="both"/>
      </w:pPr>
      <w:r>
        <w:rPr>
          <w:rFonts w:ascii="Times New Roman"/>
          <w:b w:val="false"/>
          <w:i w:val="false"/>
          <w:color w:val="000000"/>
          <w:sz w:val="28"/>
        </w:rPr>
        <w:t>
      вида строительства;</w:t>
      </w:r>
    </w:p>
    <w:bookmarkEnd w:id="50"/>
    <w:bookmarkStart w:name="z62" w:id="51"/>
    <w:p>
      <w:pPr>
        <w:spacing w:after="0"/>
        <w:ind w:left="0"/>
        <w:jc w:val="both"/>
      </w:pPr>
      <w:r>
        <w:rPr>
          <w:rFonts w:ascii="Times New Roman"/>
          <w:b w:val="false"/>
          <w:i w:val="false"/>
          <w:color w:val="000000"/>
          <w:sz w:val="28"/>
        </w:rPr>
        <w:t>
      года завершения работ согласно дате акта приемки объекта в эксплуатацию;</w:t>
      </w:r>
    </w:p>
    <w:bookmarkEnd w:id="51"/>
    <w:bookmarkStart w:name="z63" w:id="52"/>
    <w:p>
      <w:pPr>
        <w:spacing w:after="0"/>
        <w:ind w:left="0"/>
        <w:jc w:val="both"/>
      </w:pPr>
      <w:r>
        <w:rPr>
          <w:rFonts w:ascii="Times New Roman"/>
          <w:b w:val="false"/>
          <w:i w:val="false"/>
          <w:color w:val="000000"/>
          <w:sz w:val="28"/>
        </w:rPr>
        <w:t>
      статуса поставщика;</w:t>
      </w:r>
    </w:p>
    <w:bookmarkEnd w:id="52"/>
    <w:bookmarkStart w:name="z64" w:id="53"/>
    <w:p>
      <w:pPr>
        <w:spacing w:after="0"/>
        <w:ind w:left="0"/>
        <w:jc w:val="both"/>
      </w:pPr>
      <w:r>
        <w:rPr>
          <w:rFonts w:ascii="Times New Roman"/>
          <w:b w:val="false"/>
          <w:i w:val="false"/>
          <w:color w:val="000000"/>
          <w:sz w:val="28"/>
        </w:rPr>
        <w:t>
      уровня ответственности зданий и сооружений;</w:t>
      </w:r>
    </w:p>
    <w:bookmarkEnd w:id="53"/>
    <w:bookmarkStart w:name="z65" w:id="54"/>
    <w:p>
      <w:pPr>
        <w:spacing w:after="0"/>
        <w:ind w:left="0"/>
        <w:jc w:val="both"/>
      </w:pPr>
      <w:r>
        <w:rPr>
          <w:rFonts w:ascii="Times New Roman"/>
          <w:b w:val="false"/>
          <w:i w:val="false"/>
          <w:color w:val="000000"/>
          <w:sz w:val="28"/>
        </w:rPr>
        <w:t>
      технической сложности объектов;</w:t>
      </w:r>
    </w:p>
    <w:bookmarkEnd w:id="54"/>
    <w:bookmarkStart w:name="z66" w:id="55"/>
    <w:p>
      <w:pPr>
        <w:spacing w:after="0"/>
        <w:ind w:left="0"/>
        <w:jc w:val="both"/>
      </w:pPr>
      <w:r>
        <w:rPr>
          <w:rFonts w:ascii="Times New Roman"/>
          <w:b w:val="false"/>
          <w:i w:val="false"/>
          <w:color w:val="000000"/>
          <w:sz w:val="28"/>
        </w:rPr>
        <w:t>
      функционального назначения объектов.</w:t>
      </w:r>
    </w:p>
    <w:bookmarkEnd w:id="55"/>
    <w:bookmarkStart w:name="z67" w:id="56"/>
    <w:p>
      <w:pPr>
        <w:spacing w:after="0"/>
        <w:ind w:left="0"/>
        <w:jc w:val="both"/>
      </w:pPr>
      <w:r>
        <w:rPr>
          <w:rFonts w:ascii="Times New Roman"/>
          <w:b w:val="false"/>
          <w:i w:val="false"/>
          <w:color w:val="000000"/>
          <w:sz w:val="28"/>
        </w:rPr>
        <w:t>
      Такая корректировка осуществляется на основе:</w:t>
      </w:r>
    </w:p>
    <w:bookmarkEnd w:id="56"/>
    <w:bookmarkStart w:name="z68" w:id="57"/>
    <w:p>
      <w:pPr>
        <w:spacing w:after="0"/>
        <w:ind w:left="0"/>
        <w:jc w:val="both"/>
      </w:pPr>
      <w:r>
        <w:rPr>
          <w:rFonts w:ascii="Times New Roman"/>
          <w:b w:val="false"/>
          <w:i w:val="false"/>
          <w:color w:val="000000"/>
          <w:sz w:val="28"/>
        </w:rPr>
        <w:t>
      самостоятельно выявленных ведомством уполномоченного органа указанных несоответствий;</w:t>
      </w:r>
    </w:p>
    <w:bookmarkEnd w:id="57"/>
    <w:bookmarkStart w:name="z69" w:id="58"/>
    <w:p>
      <w:pPr>
        <w:spacing w:after="0"/>
        <w:ind w:left="0"/>
        <w:jc w:val="both"/>
      </w:pPr>
      <w:r>
        <w:rPr>
          <w:rFonts w:ascii="Times New Roman"/>
          <w:b w:val="false"/>
          <w:i w:val="false"/>
          <w:color w:val="000000"/>
          <w:sz w:val="28"/>
        </w:rPr>
        <w:t>
      заявок организаторов, единых организаторов;</w:t>
      </w:r>
    </w:p>
    <w:bookmarkEnd w:id="58"/>
    <w:bookmarkStart w:name="z70" w:id="59"/>
    <w:p>
      <w:pPr>
        <w:spacing w:after="0"/>
        <w:ind w:left="0"/>
        <w:jc w:val="both"/>
      </w:pPr>
      <w:r>
        <w:rPr>
          <w:rFonts w:ascii="Times New Roman"/>
          <w:b w:val="false"/>
          <w:i w:val="false"/>
          <w:color w:val="000000"/>
          <w:sz w:val="28"/>
        </w:rPr>
        <w:t>
      жалоб потенциальных поставщиков;</w:t>
      </w:r>
    </w:p>
    <w:bookmarkEnd w:id="59"/>
    <w:bookmarkStart w:name="z71" w:id="60"/>
    <w:p>
      <w:pPr>
        <w:spacing w:after="0"/>
        <w:ind w:left="0"/>
        <w:jc w:val="both"/>
      </w:pPr>
      <w:r>
        <w:rPr>
          <w:rFonts w:ascii="Times New Roman"/>
          <w:b w:val="false"/>
          <w:i w:val="false"/>
          <w:color w:val="000000"/>
          <w:sz w:val="28"/>
        </w:rPr>
        <w:t xml:space="preserve">
      заявок органов внутреннего государственного аудита по итогам рассмотрения жалоб и возражений в порядке </w:t>
      </w:r>
      <w:r>
        <w:rPr>
          <w:rFonts w:ascii="Times New Roman"/>
          <w:b w:val="false"/>
          <w:i w:val="false"/>
          <w:color w:val="000000"/>
          <w:sz w:val="28"/>
        </w:rPr>
        <w:t>статьи 47</w:t>
      </w:r>
      <w:r>
        <w:rPr>
          <w:rFonts w:ascii="Times New Roman"/>
          <w:b w:val="false"/>
          <w:i w:val="false"/>
          <w:color w:val="000000"/>
          <w:sz w:val="28"/>
        </w:rPr>
        <w:t xml:space="preserve"> Закона и </w:t>
      </w:r>
      <w:r>
        <w:rPr>
          <w:rFonts w:ascii="Times New Roman"/>
          <w:b w:val="false"/>
          <w:i w:val="false"/>
          <w:color w:val="000000"/>
          <w:sz w:val="28"/>
        </w:rPr>
        <w:t>главы 11-1</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о государственном аудите и финансовом контроле);</w:t>
      </w:r>
    </w:p>
    <w:bookmarkEnd w:id="60"/>
    <w:bookmarkStart w:name="z72" w:id="61"/>
    <w:p>
      <w:pPr>
        <w:spacing w:after="0"/>
        <w:ind w:left="0"/>
        <w:jc w:val="both"/>
      </w:pPr>
      <w:r>
        <w:rPr>
          <w:rFonts w:ascii="Times New Roman"/>
          <w:b w:val="false"/>
          <w:i w:val="false"/>
          <w:color w:val="000000"/>
          <w:sz w:val="28"/>
        </w:rPr>
        <w:t>
      судебных актов, вступивших в законную силу.</w:t>
      </w:r>
    </w:p>
    <w:bookmarkEnd w:id="61"/>
    <w:bookmarkStart w:name="z73" w:id="62"/>
    <w:p>
      <w:pPr>
        <w:spacing w:after="0"/>
        <w:ind w:left="0"/>
        <w:jc w:val="both"/>
      </w:pPr>
      <w:r>
        <w:rPr>
          <w:rFonts w:ascii="Times New Roman"/>
          <w:b w:val="false"/>
          <w:i w:val="false"/>
          <w:color w:val="000000"/>
          <w:sz w:val="28"/>
        </w:rPr>
        <w:t>
      При этом, веб-портал автоматически уведомляет потенциального поставщика, сведения которого подлежат корректировке.</w:t>
      </w:r>
    </w:p>
    <w:bookmarkEnd w:id="62"/>
    <w:bookmarkStart w:name="z74" w:id="63"/>
    <w:p>
      <w:pPr>
        <w:spacing w:after="0"/>
        <w:ind w:left="0"/>
        <w:jc w:val="both"/>
      </w:pPr>
      <w:r>
        <w:rPr>
          <w:rFonts w:ascii="Times New Roman"/>
          <w:b w:val="false"/>
          <w:i w:val="false"/>
          <w:color w:val="000000"/>
          <w:sz w:val="28"/>
        </w:rPr>
        <w:t>
      В случае несогласия с заявкой или жалобой о корректировке, а также выявленными ведомством уполномоченного органа несоответствий, потенциальный поставщик посредством веб-портала дает аргументированные обоснования с приложением подтверждающих документов.</w:t>
      </w:r>
    </w:p>
    <w:bookmarkEnd w:id="63"/>
    <w:bookmarkStart w:name="z75" w:id="64"/>
    <w:p>
      <w:pPr>
        <w:spacing w:after="0"/>
        <w:ind w:left="0"/>
        <w:jc w:val="both"/>
      </w:pPr>
      <w:r>
        <w:rPr>
          <w:rFonts w:ascii="Times New Roman"/>
          <w:b w:val="false"/>
          <w:i w:val="false"/>
          <w:color w:val="000000"/>
          <w:sz w:val="28"/>
        </w:rPr>
        <w:t>
      Корректировка осуществляется ведомством уполномоченного органа и его территориальными подразделениями в течение десяти рабочих дней со дня поступления заявок (жалоб), поданных посредством веб-портала.";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изложить в следующей редакции:</w:t>
      </w:r>
    </w:p>
    <w:bookmarkStart w:name="z77" w:id="65"/>
    <w:p>
      <w:pPr>
        <w:spacing w:after="0"/>
        <w:ind w:left="0"/>
        <w:jc w:val="both"/>
      </w:pPr>
      <w:r>
        <w:rPr>
          <w:rFonts w:ascii="Times New Roman"/>
          <w:b w:val="false"/>
          <w:i w:val="false"/>
          <w:color w:val="000000"/>
          <w:sz w:val="28"/>
        </w:rPr>
        <w:t>
      "102. Решения, предусмотренные в пунктах 96 и 101 настоящих Правил, обжалуются в судебном порядке в соответствии с законодательством Республики Казахстан.</w:t>
      </w:r>
    </w:p>
    <w:bookmarkEnd w:id="65"/>
    <w:bookmarkStart w:name="z78" w:id="66"/>
    <w:p>
      <w:pPr>
        <w:spacing w:after="0"/>
        <w:ind w:left="0"/>
        <w:jc w:val="both"/>
      </w:pPr>
      <w:r>
        <w:rPr>
          <w:rFonts w:ascii="Times New Roman"/>
          <w:b w:val="false"/>
          <w:i w:val="false"/>
          <w:color w:val="000000"/>
          <w:sz w:val="28"/>
        </w:rPr>
        <w:t>
      103. Блокировка сведений и документов, подтверждающих опыт работы потенциального поставщика, содержащиеся в электронном депозитарии, в том числе сведений со статусом "Подтверждено" осуществляется ведомством уполномоченного органа в случаях установления:</w:t>
      </w:r>
    </w:p>
    <w:bookmarkEnd w:id="66"/>
    <w:bookmarkStart w:name="z79" w:id="67"/>
    <w:p>
      <w:pPr>
        <w:spacing w:after="0"/>
        <w:ind w:left="0"/>
        <w:jc w:val="both"/>
      </w:pPr>
      <w:r>
        <w:rPr>
          <w:rFonts w:ascii="Times New Roman"/>
          <w:b w:val="false"/>
          <w:i w:val="false"/>
          <w:color w:val="000000"/>
          <w:sz w:val="28"/>
        </w:rPr>
        <w:t>
      1) факта предоставления недостоверной информации по документам, подтверждающим опыт работы потенциального поставщика;</w:t>
      </w:r>
    </w:p>
    <w:bookmarkEnd w:id="67"/>
    <w:bookmarkStart w:name="z80" w:id="68"/>
    <w:p>
      <w:pPr>
        <w:spacing w:after="0"/>
        <w:ind w:left="0"/>
        <w:jc w:val="both"/>
      </w:pPr>
      <w:r>
        <w:rPr>
          <w:rFonts w:ascii="Times New Roman"/>
          <w:b w:val="false"/>
          <w:i w:val="false"/>
          <w:color w:val="000000"/>
          <w:sz w:val="28"/>
        </w:rPr>
        <w:t>
      2) факта дублирований сведений и документов по объекту, подтверждающих опыт работы потенциального поставщика.</w:t>
      </w:r>
    </w:p>
    <w:bookmarkEnd w:id="68"/>
    <w:bookmarkStart w:name="z81" w:id="69"/>
    <w:p>
      <w:pPr>
        <w:spacing w:after="0"/>
        <w:ind w:left="0"/>
        <w:jc w:val="both"/>
      </w:pPr>
      <w:r>
        <w:rPr>
          <w:rFonts w:ascii="Times New Roman"/>
          <w:b w:val="false"/>
          <w:i w:val="false"/>
          <w:color w:val="000000"/>
          <w:sz w:val="28"/>
        </w:rPr>
        <w:t>
      104. Блокировка сведений и документов, подтверждающих опыт работы потенциального поставщика, содержащиеся в электронном депозитарии осуществляется ведомством уполномоченного органа в течение пяти рабочих дней со дня поступления заявок на блокировку, направленных посредством веб-портала, с приложением подтверждающих документов:</w:t>
      </w:r>
    </w:p>
    <w:bookmarkEnd w:id="69"/>
    <w:bookmarkStart w:name="z82" w:id="70"/>
    <w:p>
      <w:pPr>
        <w:spacing w:after="0"/>
        <w:ind w:left="0"/>
        <w:jc w:val="both"/>
      </w:pPr>
      <w:r>
        <w:rPr>
          <w:rFonts w:ascii="Times New Roman"/>
          <w:b w:val="false"/>
          <w:i w:val="false"/>
          <w:color w:val="000000"/>
          <w:sz w:val="28"/>
        </w:rPr>
        <w:t>
      1) в случаях, предусмотренных подпунктом 1) пункта 103 настоящих Правил органами внутреннего государственного аудита, в том числе на основе сведений и документов, представленных заказчиком, организатором, единым организатором, потенциальным поставщиком на любой стадии осуществления государственных закупок;</w:t>
      </w:r>
    </w:p>
    <w:bookmarkEnd w:id="70"/>
    <w:bookmarkStart w:name="z83" w:id="71"/>
    <w:p>
      <w:pPr>
        <w:spacing w:after="0"/>
        <w:ind w:left="0"/>
        <w:jc w:val="both"/>
      </w:pPr>
      <w:r>
        <w:rPr>
          <w:rFonts w:ascii="Times New Roman"/>
          <w:b w:val="false"/>
          <w:i w:val="false"/>
          <w:color w:val="000000"/>
          <w:sz w:val="28"/>
        </w:rPr>
        <w:t>
      2) в случаях, предусмотренных подпунктом 2) пункта 103 настоящих Правил ведомством уполномоченного органа, в том числе на основе:</w:t>
      </w:r>
    </w:p>
    <w:bookmarkEnd w:id="71"/>
    <w:bookmarkStart w:name="z84" w:id="72"/>
    <w:p>
      <w:pPr>
        <w:spacing w:after="0"/>
        <w:ind w:left="0"/>
        <w:jc w:val="both"/>
      </w:pPr>
      <w:r>
        <w:rPr>
          <w:rFonts w:ascii="Times New Roman"/>
          <w:b w:val="false"/>
          <w:i w:val="false"/>
          <w:color w:val="000000"/>
          <w:sz w:val="28"/>
        </w:rPr>
        <w:t>
      заявок организаторов, единых организаторов;</w:t>
      </w:r>
    </w:p>
    <w:bookmarkEnd w:id="72"/>
    <w:bookmarkStart w:name="z85" w:id="73"/>
    <w:p>
      <w:pPr>
        <w:spacing w:after="0"/>
        <w:ind w:left="0"/>
        <w:jc w:val="both"/>
      </w:pPr>
      <w:r>
        <w:rPr>
          <w:rFonts w:ascii="Times New Roman"/>
          <w:b w:val="false"/>
          <w:i w:val="false"/>
          <w:color w:val="000000"/>
          <w:sz w:val="28"/>
        </w:rPr>
        <w:t>
      жалоб потенциальных поставщиков;</w:t>
      </w:r>
    </w:p>
    <w:bookmarkEnd w:id="73"/>
    <w:bookmarkStart w:name="z86" w:id="74"/>
    <w:p>
      <w:pPr>
        <w:spacing w:after="0"/>
        <w:ind w:left="0"/>
        <w:jc w:val="both"/>
      </w:pPr>
      <w:r>
        <w:rPr>
          <w:rFonts w:ascii="Times New Roman"/>
          <w:b w:val="false"/>
          <w:i w:val="false"/>
          <w:color w:val="000000"/>
          <w:sz w:val="28"/>
        </w:rPr>
        <w:t xml:space="preserve">
      заявок органов внутреннего государственного аудита по итогам рассмотрения жалоб и возражений в порядке </w:t>
      </w:r>
      <w:r>
        <w:rPr>
          <w:rFonts w:ascii="Times New Roman"/>
          <w:b w:val="false"/>
          <w:i w:val="false"/>
          <w:color w:val="000000"/>
          <w:sz w:val="28"/>
        </w:rPr>
        <w:t>статьи 47</w:t>
      </w:r>
      <w:r>
        <w:rPr>
          <w:rFonts w:ascii="Times New Roman"/>
          <w:b w:val="false"/>
          <w:i w:val="false"/>
          <w:color w:val="000000"/>
          <w:sz w:val="28"/>
        </w:rPr>
        <w:t xml:space="preserve"> Закона и </w:t>
      </w:r>
      <w:r>
        <w:rPr>
          <w:rFonts w:ascii="Times New Roman"/>
          <w:b w:val="false"/>
          <w:i w:val="false"/>
          <w:color w:val="000000"/>
          <w:sz w:val="28"/>
        </w:rPr>
        <w:t>главы 11-1</w:t>
      </w:r>
      <w:r>
        <w:rPr>
          <w:rFonts w:ascii="Times New Roman"/>
          <w:b w:val="false"/>
          <w:i w:val="false"/>
          <w:color w:val="000000"/>
          <w:sz w:val="28"/>
        </w:rPr>
        <w:t xml:space="preserve"> Закона о государственном аудите и финансовом контроле.</w:t>
      </w:r>
    </w:p>
    <w:bookmarkEnd w:id="74"/>
    <w:bookmarkStart w:name="z87" w:id="75"/>
    <w:p>
      <w:pPr>
        <w:spacing w:after="0"/>
        <w:ind w:left="0"/>
        <w:jc w:val="both"/>
      </w:pPr>
      <w:r>
        <w:rPr>
          <w:rFonts w:ascii="Times New Roman"/>
          <w:b w:val="false"/>
          <w:i w:val="false"/>
          <w:color w:val="000000"/>
          <w:sz w:val="28"/>
        </w:rPr>
        <w:t>
      105. Заявки на блокировку сведений и документов, подтверждающих опыт работы потенциального поставщика, содержащиеся в электронном депозитарии без документов, подтверждающих факты недостоверной информации и дублирования сведений по объекту, отклоняются ведомством уполномоченного органа с указанием аргументированных обоснований.";</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89" w:id="76"/>
    <w:p>
      <w:pPr>
        <w:spacing w:after="0"/>
        <w:ind w:left="0"/>
        <w:jc w:val="both"/>
      </w:pPr>
      <w:r>
        <w:rPr>
          <w:rFonts w:ascii="Times New Roman"/>
          <w:b w:val="false"/>
          <w:i w:val="false"/>
          <w:color w:val="000000"/>
          <w:sz w:val="28"/>
        </w:rPr>
        <w:t xml:space="preserve">
      "174.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6"/>
    <w:bookmarkStart w:name="z90" w:id="77"/>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77"/>
    <w:bookmarkStart w:name="z91" w:id="78"/>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243 изложить в следующей редакции:</w:t>
      </w:r>
    </w:p>
    <w:bookmarkStart w:name="z93" w:id="79"/>
    <w:p>
      <w:pPr>
        <w:spacing w:after="0"/>
        <w:ind w:left="0"/>
        <w:jc w:val="both"/>
      </w:pPr>
      <w:r>
        <w:rPr>
          <w:rFonts w:ascii="Times New Roman"/>
          <w:b w:val="false"/>
          <w:i w:val="false"/>
          <w:color w:val="000000"/>
          <w:sz w:val="28"/>
        </w:rPr>
        <w:t>
      "1) наличие у потенциального поставщика опыта работы на рынке работ, услуг, являющихся предметом проводимых государственных закупок;";</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250</w:t>
      </w:r>
      <w:r>
        <w:rPr>
          <w:rFonts w:ascii="Times New Roman"/>
          <w:b w:val="false"/>
          <w:i w:val="false"/>
          <w:color w:val="000000"/>
          <w:sz w:val="28"/>
        </w:rPr>
        <w:t xml:space="preserve"> изложить в следующей редакции:</w:t>
      </w:r>
    </w:p>
    <w:bookmarkStart w:name="z95" w:id="80"/>
    <w:p>
      <w:pPr>
        <w:spacing w:after="0"/>
        <w:ind w:left="0"/>
        <w:jc w:val="both"/>
      </w:pPr>
      <w:r>
        <w:rPr>
          <w:rFonts w:ascii="Times New Roman"/>
          <w:b w:val="false"/>
          <w:i w:val="false"/>
          <w:color w:val="000000"/>
          <w:sz w:val="28"/>
        </w:rPr>
        <w:t>
      "250. В случае если предметом конкурса являются работы, не связанные со строительством, конкурсная комиссия присваивает условную скидку в размере одного процента (1%)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80"/>
    <w:bookmarkStart w:name="z96" w:id="81"/>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более одной работы, закупаемые на конкурсе, в том числе по схожим (аналогичным) видам работ,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bookmarkEnd w:id="81"/>
    <w:bookmarkStart w:name="z97" w:id="82"/>
    <w:p>
      <w:pPr>
        <w:spacing w:after="0"/>
        <w:ind w:left="0"/>
        <w:jc w:val="both"/>
      </w:pPr>
      <w:r>
        <w:rPr>
          <w:rFonts w:ascii="Times New Roman"/>
          <w:b w:val="false"/>
          <w:i w:val="false"/>
          <w:color w:val="000000"/>
          <w:sz w:val="28"/>
        </w:rPr>
        <w:t>
      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279</w:t>
      </w:r>
      <w:r>
        <w:rPr>
          <w:rFonts w:ascii="Times New Roman"/>
          <w:b w:val="false"/>
          <w:i w:val="false"/>
          <w:color w:val="000000"/>
          <w:sz w:val="28"/>
        </w:rPr>
        <w:t xml:space="preserve"> и </w:t>
      </w:r>
      <w:r>
        <w:rPr>
          <w:rFonts w:ascii="Times New Roman"/>
          <w:b w:val="false"/>
          <w:i w:val="false"/>
          <w:color w:val="000000"/>
          <w:sz w:val="28"/>
        </w:rPr>
        <w:t>280</w:t>
      </w:r>
      <w:r>
        <w:rPr>
          <w:rFonts w:ascii="Times New Roman"/>
          <w:b w:val="false"/>
          <w:i w:val="false"/>
          <w:color w:val="000000"/>
          <w:sz w:val="28"/>
        </w:rPr>
        <w:t xml:space="preserve"> изложить в следующей редакции:</w:t>
      </w:r>
    </w:p>
    <w:bookmarkStart w:name="z99" w:id="83"/>
    <w:p>
      <w:pPr>
        <w:spacing w:after="0"/>
        <w:ind w:left="0"/>
        <w:jc w:val="both"/>
      </w:pPr>
      <w:r>
        <w:rPr>
          <w:rFonts w:ascii="Times New Roman"/>
          <w:b w:val="false"/>
          <w:i w:val="false"/>
          <w:color w:val="000000"/>
          <w:sz w:val="28"/>
        </w:rPr>
        <w:t xml:space="preserve">
      "279. Конкурсная комиссия присваивает условную скидку в размере одного процента (1%) за каждый год наличия у потенциального поставщика опыта работы на рынке закупаемых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но не более пяти процентов.</w:t>
      </w:r>
    </w:p>
    <w:bookmarkEnd w:id="83"/>
    <w:bookmarkStart w:name="z100" w:id="84"/>
    <w:p>
      <w:pPr>
        <w:spacing w:after="0"/>
        <w:ind w:left="0"/>
        <w:jc w:val="both"/>
      </w:pPr>
      <w:r>
        <w:rPr>
          <w:rFonts w:ascii="Times New Roman"/>
          <w:b w:val="false"/>
          <w:i w:val="false"/>
          <w:color w:val="000000"/>
          <w:sz w:val="28"/>
        </w:rPr>
        <w:t>
      280. Документами, подтверждающими опыт работы на рынке закупаемых услуг, являются электронные копии актов оказанных услуг и счетов-фактур.</w:t>
      </w:r>
    </w:p>
    <w:bookmarkEnd w:id="84"/>
    <w:bookmarkStart w:name="z101" w:id="85"/>
    <w:p>
      <w:pPr>
        <w:spacing w:after="0"/>
        <w:ind w:left="0"/>
        <w:jc w:val="both"/>
      </w:pPr>
      <w:r>
        <w:rPr>
          <w:rFonts w:ascii="Times New Roman"/>
          <w:b w:val="false"/>
          <w:i w:val="false"/>
          <w:color w:val="000000"/>
          <w:sz w:val="28"/>
        </w:rPr>
        <w:t xml:space="preserve">
      При осуществлении государственных закупок услуг технического надзора документом, подтверждающим опыт работы, является акт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293</w:t>
      </w:r>
      <w:r>
        <w:rPr>
          <w:rFonts w:ascii="Times New Roman"/>
          <w:b w:val="false"/>
          <w:i w:val="false"/>
          <w:color w:val="000000"/>
          <w:sz w:val="28"/>
        </w:rPr>
        <w:t xml:space="preserve"> изложить в следующей редакции:</w:t>
      </w:r>
    </w:p>
    <w:bookmarkStart w:name="z103" w:id="86"/>
    <w:p>
      <w:pPr>
        <w:spacing w:after="0"/>
        <w:ind w:left="0"/>
        <w:jc w:val="both"/>
      </w:pPr>
      <w:r>
        <w:rPr>
          <w:rFonts w:ascii="Times New Roman"/>
          <w:b w:val="false"/>
          <w:i w:val="false"/>
          <w:color w:val="000000"/>
          <w:sz w:val="28"/>
        </w:rPr>
        <w:t>
      "293.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86"/>
    <w:bookmarkStart w:name="z104" w:id="87"/>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приложениям 11</w:t>
      </w:r>
      <w:r>
        <w:rPr>
          <w:rFonts w:ascii="Times New Roman"/>
          <w:b w:val="false"/>
          <w:i w:val="false"/>
          <w:color w:val="000000"/>
          <w:sz w:val="28"/>
        </w:rPr>
        <w:t>, 11-1, 11-2 и 11-3 к настоящим Правилам.</w:t>
      </w:r>
    </w:p>
    <w:bookmarkEnd w:id="87"/>
    <w:bookmarkStart w:name="z105" w:id="88"/>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88"/>
    <w:bookmarkStart w:name="z106" w:id="89"/>
    <w:p>
      <w:pPr>
        <w:spacing w:after="0"/>
        <w:ind w:left="0"/>
        <w:jc w:val="both"/>
      </w:pPr>
      <w:r>
        <w:rPr>
          <w:rFonts w:ascii="Times New Roman"/>
          <w:b w:val="false"/>
          <w:i w:val="false"/>
          <w:color w:val="000000"/>
          <w:sz w:val="28"/>
        </w:rPr>
        <w:t>
      дополнить пунктом 505-1 следующего содержания:</w:t>
      </w:r>
    </w:p>
    <w:bookmarkEnd w:id="89"/>
    <w:bookmarkStart w:name="z107" w:id="90"/>
    <w:p>
      <w:pPr>
        <w:spacing w:after="0"/>
        <w:ind w:left="0"/>
        <w:jc w:val="both"/>
      </w:pPr>
      <w:r>
        <w:rPr>
          <w:rFonts w:ascii="Times New Roman"/>
          <w:b w:val="false"/>
          <w:i w:val="false"/>
          <w:color w:val="000000"/>
          <w:sz w:val="28"/>
        </w:rPr>
        <w:t>
      "505-1. Договор страхования гражданско-правовой ответственности представляется поставщиком в форме электронного документа либо на бумажном носителе.</w:t>
      </w:r>
    </w:p>
    <w:bookmarkEnd w:id="90"/>
    <w:bookmarkStart w:name="z108" w:id="91"/>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w:t>
      </w:r>
    </w:p>
    <w:bookmarkEnd w:id="91"/>
    <w:bookmarkStart w:name="z109" w:id="92"/>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в журнале регистрации договоров страхования гражданско-правовой ответственности поставщика.</w:t>
      </w:r>
    </w:p>
    <w:bookmarkEnd w:id="92"/>
    <w:bookmarkStart w:name="z110" w:id="93"/>
    <w:p>
      <w:pPr>
        <w:spacing w:after="0"/>
        <w:ind w:left="0"/>
        <w:jc w:val="both"/>
      </w:pPr>
      <w:r>
        <w:rPr>
          <w:rFonts w:ascii="Times New Roman"/>
          <w:b w:val="false"/>
          <w:i w:val="false"/>
          <w:color w:val="000000"/>
          <w:sz w:val="28"/>
        </w:rPr>
        <w:t>
      Заказчик указывает в журнале регистрации договоров страхования гражданско-правовой ответственности поставщика следующие сведения:</w:t>
      </w:r>
    </w:p>
    <w:bookmarkEnd w:id="93"/>
    <w:bookmarkStart w:name="z111" w:id="94"/>
    <w:p>
      <w:pPr>
        <w:spacing w:after="0"/>
        <w:ind w:left="0"/>
        <w:jc w:val="both"/>
      </w:pPr>
      <w:r>
        <w:rPr>
          <w:rFonts w:ascii="Times New Roman"/>
          <w:b w:val="false"/>
          <w:i w:val="false"/>
          <w:color w:val="000000"/>
          <w:sz w:val="28"/>
        </w:rPr>
        <w:t>
      1) название, номер и срок проведения закупки;</w:t>
      </w:r>
    </w:p>
    <w:bookmarkEnd w:id="94"/>
    <w:bookmarkStart w:name="z112" w:id="95"/>
    <w:p>
      <w:pPr>
        <w:spacing w:after="0"/>
        <w:ind w:left="0"/>
        <w:jc w:val="both"/>
      </w:pPr>
      <w:r>
        <w:rPr>
          <w:rFonts w:ascii="Times New Roman"/>
          <w:b w:val="false"/>
          <w:i w:val="false"/>
          <w:color w:val="000000"/>
          <w:sz w:val="28"/>
        </w:rPr>
        <w:t>
      2) номер и дата договора о государственных закупках, по которому необходимо внести обеспечение исполнения договора и обеспечения аванса;</w:t>
      </w:r>
    </w:p>
    <w:bookmarkEnd w:id="95"/>
    <w:bookmarkStart w:name="z113" w:id="96"/>
    <w:p>
      <w:pPr>
        <w:spacing w:after="0"/>
        <w:ind w:left="0"/>
        <w:jc w:val="both"/>
      </w:pPr>
      <w:r>
        <w:rPr>
          <w:rFonts w:ascii="Times New Roman"/>
          <w:b w:val="false"/>
          <w:i w:val="false"/>
          <w:color w:val="000000"/>
          <w:sz w:val="28"/>
        </w:rPr>
        <w:t>
      3) фамилия, имя, отчество (при наличии) уполномоченного представителя потенциального поставщика;</w:t>
      </w:r>
    </w:p>
    <w:bookmarkEnd w:id="96"/>
    <w:bookmarkStart w:name="z114" w:id="97"/>
    <w:p>
      <w:pPr>
        <w:spacing w:after="0"/>
        <w:ind w:left="0"/>
        <w:jc w:val="both"/>
      </w:pPr>
      <w:r>
        <w:rPr>
          <w:rFonts w:ascii="Times New Roman"/>
          <w:b w:val="false"/>
          <w:i w:val="false"/>
          <w:color w:val="000000"/>
          <w:sz w:val="28"/>
        </w:rPr>
        <w:t>
      4) дата и время регистрации договора страхования гражданско-правовой ответственности поставщика;</w:t>
      </w:r>
    </w:p>
    <w:bookmarkEnd w:id="97"/>
    <w:bookmarkStart w:name="z115" w:id="98"/>
    <w:p>
      <w:pPr>
        <w:spacing w:after="0"/>
        <w:ind w:left="0"/>
        <w:jc w:val="both"/>
      </w:pPr>
      <w:r>
        <w:rPr>
          <w:rFonts w:ascii="Times New Roman"/>
          <w:b w:val="false"/>
          <w:i w:val="false"/>
          <w:color w:val="000000"/>
          <w:sz w:val="28"/>
        </w:rPr>
        <w:t xml:space="preserve">
      5) отметка о соответствии договора страхования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февраля 2022 года № 206 "Об утверждении типового договора страхования гражданско-правовой ответственности поставщика" (зарегистрирован в Реестре государственной регистрации нормативных правовых актов № 26971).</w:t>
      </w:r>
    </w:p>
    <w:bookmarkEnd w:id="98"/>
    <w:bookmarkStart w:name="z116" w:id="99"/>
    <w:p>
      <w:pPr>
        <w:spacing w:after="0"/>
        <w:ind w:left="0"/>
        <w:jc w:val="both"/>
      </w:pPr>
      <w:r>
        <w:rPr>
          <w:rFonts w:ascii="Times New Roman"/>
          <w:b w:val="false"/>
          <w:i w:val="false"/>
          <w:color w:val="000000"/>
          <w:sz w:val="28"/>
        </w:rPr>
        <w:t>
      Журнал регистрации договоров страхования гражданско-правовой ответственности поставщика прошивается, страницы пронумеровываются и парафируются заказчиком.</w:t>
      </w:r>
    </w:p>
    <w:bookmarkEnd w:id="99"/>
    <w:bookmarkStart w:name="z117" w:id="100"/>
    <w:p>
      <w:pPr>
        <w:spacing w:after="0"/>
        <w:ind w:left="0"/>
        <w:jc w:val="both"/>
      </w:pPr>
      <w:r>
        <w:rPr>
          <w:rFonts w:ascii="Times New Roman"/>
          <w:b w:val="false"/>
          <w:i w:val="false"/>
          <w:color w:val="000000"/>
          <w:sz w:val="28"/>
        </w:rPr>
        <w:t>
      Последняя страница журнала регистрации договоров страхования гражданско-правовой ответственности поставщика скрепляется печатью заказчика.";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Конкурсную документацию</w:t>
      </w:r>
      <w:r>
        <w:rPr>
          <w:rFonts w:ascii="Times New Roman"/>
          <w:b w:val="false"/>
          <w:i w:val="false"/>
          <w:color w:val="000000"/>
          <w:sz w:val="28"/>
        </w:rPr>
        <w:t xml:space="preserve"> дополнить пунктом 74-1 следующего содержания:</w:t>
      </w:r>
    </w:p>
    <w:bookmarkStart w:name="z119" w:id="101"/>
    <w:p>
      <w:pPr>
        <w:spacing w:after="0"/>
        <w:ind w:left="0"/>
        <w:jc w:val="both"/>
      </w:pPr>
      <w:r>
        <w:rPr>
          <w:rFonts w:ascii="Times New Roman"/>
          <w:b w:val="false"/>
          <w:i w:val="false"/>
          <w:color w:val="000000"/>
          <w:sz w:val="28"/>
        </w:rPr>
        <w:t>
      "74-1. Договор страхования гражданско-правовой ответственности представляется поставщиком в форме электронного документа либо на бумажном носителе.</w:t>
      </w:r>
    </w:p>
    <w:bookmarkEnd w:id="101"/>
    <w:bookmarkStart w:name="z120" w:id="102"/>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w:t>
      </w:r>
    </w:p>
    <w:bookmarkEnd w:id="102"/>
    <w:bookmarkStart w:name="z121" w:id="103"/>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в журнале регистрации договоров страхования гражданско-правовой ответственности поставщика.</w:t>
      </w:r>
    </w:p>
    <w:bookmarkEnd w:id="103"/>
    <w:bookmarkStart w:name="z122" w:id="104"/>
    <w:p>
      <w:pPr>
        <w:spacing w:after="0"/>
        <w:ind w:left="0"/>
        <w:jc w:val="both"/>
      </w:pPr>
      <w:r>
        <w:rPr>
          <w:rFonts w:ascii="Times New Roman"/>
          <w:b w:val="false"/>
          <w:i w:val="false"/>
          <w:color w:val="000000"/>
          <w:sz w:val="28"/>
        </w:rPr>
        <w:t>
      Заказчик указывает в журнале регистрации договоров страхования гражданско-правовой ответственности поставщика следующие сведения:</w:t>
      </w:r>
    </w:p>
    <w:bookmarkEnd w:id="104"/>
    <w:bookmarkStart w:name="z123" w:id="105"/>
    <w:p>
      <w:pPr>
        <w:spacing w:after="0"/>
        <w:ind w:left="0"/>
        <w:jc w:val="both"/>
      </w:pPr>
      <w:r>
        <w:rPr>
          <w:rFonts w:ascii="Times New Roman"/>
          <w:b w:val="false"/>
          <w:i w:val="false"/>
          <w:color w:val="000000"/>
          <w:sz w:val="28"/>
        </w:rPr>
        <w:t>
      1) название, номер и срок проведения закупки;</w:t>
      </w:r>
    </w:p>
    <w:bookmarkEnd w:id="105"/>
    <w:bookmarkStart w:name="z124" w:id="106"/>
    <w:p>
      <w:pPr>
        <w:spacing w:after="0"/>
        <w:ind w:left="0"/>
        <w:jc w:val="both"/>
      </w:pPr>
      <w:r>
        <w:rPr>
          <w:rFonts w:ascii="Times New Roman"/>
          <w:b w:val="false"/>
          <w:i w:val="false"/>
          <w:color w:val="000000"/>
          <w:sz w:val="28"/>
        </w:rPr>
        <w:t>
      2) номер и дата договора о государственных закупках, по которому необходимо внести обеспечение исполнения договора и обеспечения аванса;</w:t>
      </w:r>
    </w:p>
    <w:bookmarkEnd w:id="106"/>
    <w:bookmarkStart w:name="z125" w:id="107"/>
    <w:p>
      <w:pPr>
        <w:spacing w:after="0"/>
        <w:ind w:left="0"/>
        <w:jc w:val="both"/>
      </w:pPr>
      <w:r>
        <w:rPr>
          <w:rFonts w:ascii="Times New Roman"/>
          <w:b w:val="false"/>
          <w:i w:val="false"/>
          <w:color w:val="000000"/>
          <w:sz w:val="28"/>
        </w:rPr>
        <w:t>
      3) фамилия, имя, отчество (при наличии) уполномоченного представителя потенциального поставщика;</w:t>
      </w:r>
    </w:p>
    <w:bookmarkEnd w:id="107"/>
    <w:bookmarkStart w:name="z126" w:id="108"/>
    <w:p>
      <w:pPr>
        <w:spacing w:after="0"/>
        <w:ind w:left="0"/>
        <w:jc w:val="both"/>
      </w:pPr>
      <w:r>
        <w:rPr>
          <w:rFonts w:ascii="Times New Roman"/>
          <w:b w:val="false"/>
          <w:i w:val="false"/>
          <w:color w:val="000000"/>
          <w:sz w:val="28"/>
        </w:rPr>
        <w:t>
      4) дата и время регистрации договора страхования гражданско-правовой ответственности поставщика;</w:t>
      </w:r>
    </w:p>
    <w:bookmarkEnd w:id="108"/>
    <w:bookmarkStart w:name="z127" w:id="109"/>
    <w:p>
      <w:pPr>
        <w:spacing w:after="0"/>
        <w:ind w:left="0"/>
        <w:jc w:val="both"/>
      </w:pPr>
      <w:r>
        <w:rPr>
          <w:rFonts w:ascii="Times New Roman"/>
          <w:b w:val="false"/>
          <w:i w:val="false"/>
          <w:color w:val="000000"/>
          <w:sz w:val="28"/>
        </w:rPr>
        <w:t xml:space="preserve">
      5) отметка о соответствии договора страхования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февраля 2022 года № 206 "Об утверждении типового договора страхования гражданско-правовой ответственности поставщика" (зарегистрирован в Реестре государственной регистрации нормативных правовых актов № 26971).</w:t>
      </w:r>
    </w:p>
    <w:bookmarkEnd w:id="109"/>
    <w:bookmarkStart w:name="z128" w:id="110"/>
    <w:p>
      <w:pPr>
        <w:spacing w:after="0"/>
        <w:ind w:left="0"/>
        <w:jc w:val="both"/>
      </w:pPr>
      <w:r>
        <w:rPr>
          <w:rFonts w:ascii="Times New Roman"/>
          <w:b w:val="false"/>
          <w:i w:val="false"/>
          <w:color w:val="000000"/>
          <w:sz w:val="28"/>
        </w:rPr>
        <w:t>
      Журнал регистрации договоров страхования гражданско-правовой ответственности поставщика прошивается, страницы пронумеровываются и парафируются заказчиком.</w:t>
      </w:r>
    </w:p>
    <w:bookmarkEnd w:id="110"/>
    <w:bookmarkStart w:name="z129" w:id="111"/>
    <w:p>
      <w:pPr>
        <w:spacing w:after="0"/>
        <w:ind w:left="0"/>
        <w:jc w:val="both"/>
      </w:pPr>
      <w:r>
        <w:rPr>
          <w:rFonts w:ascii="Times New Roman"/>
          <w:b w:val="false"/>
          <w:i w:val="false"/>
          <w:color w:val="000000"/>
          <w:sz w:val="28"/>
        </w:rPr>
        <w:t>
      Последняя страница журнала регистрации договоров страхования гражданско-правовой ответственности поставщика скрепляется печатью заказчика.";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33" w:id="112"/>
    <w:p>
      <w:pPr>
        <w:spacing w:after="0"/>
        <w:ind w:left="0"/>
        <w:jc w:val="both"/>
      </w:pPr>
      <w:r>
        <w:rPr>
          <w:rFonts w:ascii="Times New Roman"/>
          <w:b w:val="false"/>
          <w:i w:val="false"/>
          <w:color w:val="000000"/>
          <w:sz w:val="28"/>
        </w:rPr>
        <w:t xml:space="preserve">
      дополнить приложениями 11-1, 11-2 и 11-3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35"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товаров:</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 изложить в следующей редакции:</w:t>
      </w:r>
    </w:p>
    <w:bookmarkStart w:name="z137" w:id="114"/>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114"/>
    <w:bookmarkStart w:name="z138" w:id="115"/>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15"/>
    <w:bookmarkStart w:name="z139" w:id="116"/>
    <w:p>
      <w:pPr>
        <w:spacing w:after="0"/>
        <w:ind w:left="0"/>
        <w:jc w:val="both"/>
      </w:pPr>
      <w:r>
        <w:rPr>
          <w:rFonts w:ascii="Times New Roman"/>
          <w:b w:val="false"/>
          <w:i w:val="false"/>
          <w:color w:val="000000"/>
          <w:sz w:val="28"/>
        </w:rPr>
        <w:t>
      либо:</w:t>
      </w:r>
    </w:p>
    <w:bookmarkEnd w:id="116"/>
    <w:bookmarkStart w:name="z140" w:id="117"/>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осуществления государственных закупок;</w:t>
      </w:r>
    </w:p>
    <w:bookmarkEnd w:id="117"/>
    <w:bookmarkStart w:name="z141" w:id="118"/>
    <w:p>
      <w:pPr>
        <w:spacing w:after="0"/>
        <w:ind w:left="0"/>
        <w:jc w:val="both"/>
      </w:pPr>
      <w:r>
        <w:rPr>
          <w:rFonts w:ascii="Times New Roman"/>
          <w:b w:val="false"/>
          <w:i w:val="false"/>
          <w:color w:val="000000"/>
          <w:sz w:val="28"/>
        </w:rPr>
        <w:t>
      либо:</w:t>
      </w:r>
    </w:p>
    <w:bookmarkEnd w:id="118"/>
    <w:bookmarkStart w:name="z142" w:id="119"/>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заключенного в соответствии с типовым договором страхования гражданско-правовой ответственности поставщика,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февраля 2022 года № 206 "Об утверждении типового договора страхования гражданско-правовой ответственности поставщика" (зарегистрирован в Реестре государственной регистрации нормативных правовых актов № 26971), для целей обеспечения исполнения договора (обеспечения аванса).</w:t>
      </w:r>
    </w:p>
    <w:bookmarkEnd w:id="119"/>
    <w:bookmarkStart w:name="z143" w:id="120"/>
    <w:p>
      <w:pPr>
        <w:spacing w:after="0"/>
        <w:ind w:left="0"/>
        <w:jc w:val="both"/>
      </w:pPr>
      <w:r>
        <w:rPr>
          <w:rFonts w:ascii="Times New Roman"/>
          <w:b w:val="false"/>
          <w:i w:val="false"/>
          <w:color w:val="000000"/>
          <w:sz w:val="28"/>
        </w:rPr>
        <w:t>
      Договор страхования представляется в форме электронного документа либо на бумажном носителе.</w:t>
      </w:r>
    </w:p>
    <w:bookmarkEnd w:id="120"/>
    <w:bookmarkStart w:name="z144" w:id="121"/>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w:t>
      </w:r>
    </w:p>
    <w:bookmarkEnd w:id="121"/>
    <w:bookmarkStart w:name="z145" w:id="122"/>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в журнале регистрации договоров страхования гражданско-правовой ответственности поставщика.</w:t>
      </w:r>
    </w:p>
    <w:bookmarkEnd w:id="122"/>
    <w:bookmarkStart w:name="z146" w:id="123"/>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23"/>
    <w:bookmarkStart w:name="z147"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в сфере строительства (строительно-монтажные работы):</w:t>
      </w:r>
    </w:p>
    <w:bookmarkEnd w:id="124"/>
    <w:bookmarkStart w:name="z148"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50" w:id="126"/>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приложению1 к Договору равную &lt;сумма&gt; тенге4,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126"/>
    <w:bookmarkStart w:name="z151" w:id="127"/>
    <w:p>
      <w:pPr>
        <w:spacing w:after="0"/>
        <w:ind w:left="0"/>
        <w:jc w:val="both"/>
      </w:pPr>
      <w:r>
        <w:rPr>
          <w:rFonts w:ascii="Times New Roman"/>
          <w:b w:val="false"/>
          <w:i w:val="false"/>
          <w:color w:val="000000"/>
          <w:sz w:val="28"/>
        </w:rPr>
        <w:t>
      денег, находящихся в электронном кошельке Подрядчика;</w:t>
      </w:r>
    </w:p>
    <w:bookmarkEnd w:id="127"/>
    <w:bookmarkStart w:name="z152" w:id="128"/>
    <w:p>
      <w:pPr>
        <w:spacing w:after="0"/>
        <w:ind w:left="0"/>
        <w:jc w:val="both"/>
      </w:pPr>
      <w:r>
        <w:rPr>
          <w:rFonts w:ascii="Times New Roman"/>
          <w:b w:val="false"/>
          <w:i w:val="false"/>
          <w:color w:val="000000"/>
          <w:sz w:val="28"/>
        </w:rPr>
        <w:t>
      либо:</w:t>
      </w:r>
    </w:p>
    <w:bookmarkEnd w:id="128"/>
    <w:bookmarkStart w:name="z153" w:id="12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осуществления государственных закупок;</w:t>
      </w:r>
    </w:p>
    <w:bookmarkEnd w:id="129"/>
    <w:bookmarkStart w:name="z154" w:id="130"/>
    <w:p>
      <w:pPr>
        <w:spacing w:after="0"/>
        <w:ind w:left="0"/>
        <w:jc w:val="both"/>
      </w:pPr>
      <w:r>
        <w:rPr>
          <w:rFonts w:ascii="Times New Roman"/>
          <w:b w:val="false"/>
          <w:i w:val="false"/>
          <w:color w:val="000000"/>
          <w:sz w:val="28"/>
        </w:rPr>
        <w:t>
      либо:</w:t>
      </w:r>
    </w:p>
    <w:bookmarkEnd w:id="130"/>
    <w:bookmarkStart w:name="z155" w:id="131"/>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заключенного в соответствии с типовым договором страхования гражданско-правовой ответственности поставщика,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февраля 2022 года № 206 "Об утверждении типового договора страхования гражданско-правовой ответственности поставщика" (зарегистрирован в Реестре государственной регистрации нормативных правовых актов № 26971), для целей обеспечения исполнения договора (обеспечения аванса).</w:t>
      </w:r>
    </w:p>
    <w:bookmarkEnd w:id="131"/>
    <w:bookmarkStart w:name="z156" w:id="132"/>
    <w:p>
      <w:pPr>
        <w:spacing w:after="0"/>
        <w:ind w:left="0"/>
        <w:jc w:val="both"/>
      </w:pPr>
      <w:r>
        <w:rPr>
          <w:rFonts w:ascii="Times New Roman"/>
          <w:b w:val="false"/>
          <w:i w:val="false"/>
          <w:color w:val="000000"/>
          <w:sz w:val="28"/>
        </w:rPr>
        <w:t>
      Договор страхования представляется в форме электронного документа либо на бумажном носителе.</w:t>
      </w:r>
    </w:p>
    <w:bookmarkEnd w:id="132"/>
    <w:bookmarkStart w:name="z157" w:id="133"/>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w:t>
      </w:r>
    </w:p>
    <w:bookmarkEnd w:id="133"/>
    <w:bookmarkStart w:name="z158" w:id="134"/>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в журнале регистрации договоров страхования гражданско-правовой ответственности поставщика.</w:t>
      </w:r>
    </w:p>
    <w:bookmarkEnd w:id="134"/>
    <w:bookmarkStart w:name="z159" w:id="135"/>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61" w:id="136"/>
    <w:p>
      <w:pPr>
        <w:spacing w:after="0"/>
        <w:ind w:left="0"/>
        <w:jc w:val="both"/>
      </w:pPr>
      <w:r>
        <w:rPr>
          <w:rFonts w:ascii="Times New Roman"/>
          <w:b w:val="false"/>
          <w:i w:val="false"/>
          <w:color w:val="000000"/>
          <w:sz w:val="28"/>
        </w:rPr>
        <w:t>
      "8.8. В случае привлечения субподрядчиков (соисполнителей)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136"/>
    <w:bookmarkStart w:name="z162" w:id="137"/>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одной второй объема работ, заказчик вправе расторгнуть договор в одностороннем порядке, с приложением подтверждающих документов.</w:t>
      </w:r>
    </w:p>
    <w:bookmarkEnd w:id="137"/>
    <w:bookmarkStart w:name="z163" w:id="138"/>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138"/>
    <w:bookmarkStart w:name="z164" w:id="139"/>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139"/>
    <w:bookmarkStart w:name="z165" w:id="140"/>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140"/>
    <w:bookmarkStart w:name="z166"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по разработке проектно-сметной документации (технико-экономического обоснования):</w:t>
      </w:r>
    </w:p>
    <w:bookmarkEnd w:id="141"/>
    <w:bookmarkStart w:name="z167"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69" w:id="143"/>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143"/>
    <w:bookmarkStart w:name="z170" w:id="144"/>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44"/>
    <w:bookmarkStart w:name="z171" w:id="145"/>
    <w:p>
      <w:pPr>
        <w:spacing w:after="0"/>
        <w:ind w:left="0"/>
        <w:jc w:val="both"/>
      </w:pPr>
      <w:r>
        <w:rPr>
          <w:rFonts w:ascii="Times New Roman"/>
          <w:b w:val="false"/>
          <w:i w:val="false"/>
          <w:color w:val="000000"/>
          <w:sz w:val="28"/>
        </w:rPr>
        <w:t>
      либо:</w:t>
      </w:r>
    </w:p>
    <w:bookmarkEnd w:id="145"/>
    <w:bookmarkStart w:name="z172" w:id="146"/>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осуществления государственных закупок;</w:t>
      </w:r>
    </w:p>
    <w:bookmarkEnd w:id="146"/>
    <w:bookmarkStart w:name="z173" w:id="147"/>
    <w:p>
      <w:pPr>
        <w:spacing w:after="0"/>
        <w:ind w:left="0"/>
        <w:jc w:val="both"/>
      </w:pPr>
      <w:r>
        <w:rPr>
          <w:rFonts w:ascii="Times New Roman"/>
          <w:b w:val="false"/>
          <w:i w:val="false"/>
          <w:color w:val="000000"/>
          <w:sz w:val="28"/>
        </w:rPr>
        <w:t>
      либо:</w:t>
      </w:r>
    </w:p>
    <w:bookmarkEnd w:id="147"/>
    <w:bookmarkStart w:name="z174" w:id="148"/>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заключенного в соответствии с типовым договором страхования гражданско-правовой ответственности поставщика,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февраля 2022 года № 206 "Об утверждении типового договора страхования гражданско-правовой ответственности поставщика" (зарегистрирован в Реестре государственной регистрации нормативных правовых актов № 26971), для целей обеспечения исполнения договора (обеспечения аванса).</w:t>
      </w:r>
    </w:p>
    <w:bookmarkEnd w:id="148"/>
    <w:bookmarkStart w:name="z175" w:id="149"/>
    <w:p>
      <w:pPr>
        <w:spacing w:after="0"/>
        <w:ind w:left="0"/>
        <w:jc w:val="both"/>
      </w:pPr>
      <w:r>
        <w:rPr>
          <w:rFonts w:ascii="Times New Roman"/>
          <w:b w:val="false"/>
          <w:i w:val="false"/>
          <w:color w:val="000000"/>
          <w:sz w:val="28"/>
        </w:rPr>
        <w:t>
      Договор страхования представляется в форме электронного документа либо на бумажном носителе.</w:t>
      </w:r>
    </w:p>
    <w:bookmarkEnd w:id="149"/>
    <w:bookmarkStart w:name="z176" w:id="150"/>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w:t>
      </w:r>
    </w:p>
    <w:bookmarkEnd w:id="150"/>
    <w:bookmarkStart w:name="z177" w:id="151"/>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в журнале регистрации договоров страхования гражданско-правовой ответственности поставщика.</w:t>
      </w:r>
    </w:p>
    <w:bookmarkEnd w:id="151"/>
    <w:bookmarkStart w:name="z178" w:id="152"/>
    <w:p>
      <w:pPr>
        <w:spacing w:after="0"/>
        <w:ind w:left="0"/>
        <w:jc w:val="both"/>
      </w:pPr>
      <w:r>
        <w:rPr>
          <w:rFonts w:ascii="Times New Roman"/>
          <w:b w:val="false"/>
          <w:i w:val="false"/>
          <w:color w:val="000000"/>
          <w:sz w:val="28"/>
        </w:rPr>
        <w:t>
      При этом обеспечение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152"/>
    <w:bookmarkStart w:name="z179"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работ, не связанных со строительством: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4.1 изложить в следующей редакции:</w:t>
      </w:r>
    </w:p>
    <w:bookmarkStart w:name="z181" w:id="154"/>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154"/>
    <w:bookmarkStart w:name="z182" w:id="155"/>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55"/>
    <w:bookmarkStart w:name="z183" w:id="156"/>
    <w:p>
      <w:pPr>
        <w:spacing w:after="0"/>
        <w:ind w:left="0"/>
        <w:jc w:val="both"/>
      </w:pPr>
      <w:r>
        <w:rPr>
          <w:rFonts w:ascii="Times New Roman"/>
          <w:b w:val="false"/>
          <w:i w:val="false"/>
          <w:color w:val="000000"/>
          <w:sz w:val="28"/>
        </w:rPr>
        <w:t>
      либо:</w:t>
      </w:r>
    </w:p>
    <w:bookmarkEnd w:id="156"/>
    <w:bookmarkStart w:name="z184" w:id="157"/>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38 к Правилам осуществления государственных закупок;</w:t>
      </w:r>
    </w:p>
    <w:bookmarkEnd w:id="157"/>
    <w:bookmarkStart w:name="z185" w:id="158"/>
    <w:p>
      <w:pPr>
        <w:spacing w:after="0"/>
        <w:ind w:left="0"/>
        <w:jc w:val="both"/>
      </w:pPr>
      <w:r>
        <w:rPr>
          <w:rFonts w:ascii="Times New Roman"/>
          <w:b w:val="false"/>
          <w:i w:val="false"/>
          <w:color w:val="000000"/>
          <w:sz w:val="28"/>
        </w:rPr>
        <w:t>
      либо:</w:t>
      </w:r>
    </w:p>
    <w:bookmarkEnd w:id="158"/>
    <w:bookmarkStart w:name="z186" w:id="159"/>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заключенного в соответствии с типовым договором страхования гражданско-правовой ответственности поставщика,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февраля 2022 года № 206 "Об утверждении типового договора страхования гражданско-правовой ответственности поставщика" (зарегистрирован в Реестре государственной регистрации нормативных правовых актов № 26971), для целей обеспечения исполнения договора (обеспечения аванса).</w:t>
      </w:r>
    </w:p>
    <w:bookmarkEnd w:id="159"/>
    <w:bookmarkStart w:name="z187" w:id="160"/>
    <w:p>
      <w:pPr>
        <w:spacing w:after="0"/>
        <w:ind w:left="0"/>
        <w:jc w:val="both"/>
      </w:pPr>
      <w:r>
        <w:rPr>
          <w:rFonts w:ascii="Times New Roman"/>
          <w:b w:val="false"/>
          <w:i w:val="false"/>
          <w:color w:val="000000"/>
          <w:sz w:val="28"/>
        </w:rPr>
        <w:t>
      Договор страхования представляется в форме электронного документа либо на бумажном носителе.</w:t>
      </w:r>
    </w:p>
    <w:bookmarkEnd w:id="160"/>
    <w:bookmarkStart w:name="z188" w:id="161"/>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w:t>
      </w:r>
    </w:p>
    <w:bookmarkEnd w:id="161"/>
    <w:bookmarkStart w:name="z189" w:id="162"/>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в журнале регистрации договоров страхования гражданско-правовой ответственности поставщика.</w:t>
      </w:r>
    </w:p>
    <w:bookmarkEnd w:id="162"/>
    <w:bookmarkStart w:name="z190" w:id="163"/>
    <w:p>
      <w:pPr>
        <w:spacing w:after="0"/>
        <w:ind w:left="0"/>
        <w:jc w:val="both"/>
      </w:pPr>
      <w:r>
        <w:rPr>
          <w:rFonts w:ascii="Times New Roman"/>
          <w:b w:val="false"/>
          <w:i w:val="false"/>
          <w:color w:val="000000"/>
          <w:sz w:val="28"/>
        </w:rPr>
        <w:t>
      При этом обеспечение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163"/>
    <w:bookmarkStart w:name="z191"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услуг:</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 изложить в следующей редакции:</w:t>
      </w:r>
    </w:p>
    <w:bookmarkStart w:name="z193" w:id="165"/>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165"/>
    <w:bookmarkStart w:name="z194" w:id="166"/>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66"/>
    <w:bookmarkStart w:name="z195" w:id="167"/>
    <w:p>
      <w:pPr>
        <w:spacing w:after="0"/>
        <w:ind w:left="0"/>
        <w:jc w:val="both"/>
      </w:pPr>
      <w:r>
        <w:rPr>
          <w:rFonts w:ascii="Times New Roman"/>
          <w:b w:val="false"/>
          <w:i w:val="false"/>
          <w:color w:val="000000"/>
          <w:sz w:val="28"/>
        </w:rPr>
        <w:t>
      либо:</w:t>
      </w:r>
    </w:p>
    <w:bookmarkEnd w:id="167"/>
    <w:bookmarkStart w:name="z196" w:id="168"/>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осуществления государственных закупок;</w:t>
      </w:r>
    </w:p>
    <w:bookmarkEnd w:id="168"/>
    <w:bookmarkStart w:name="z197" w:id="169"/>
    <w:p>
      <w:pPr>
        <w:spacing w:after="0"/>
        <w:ind w:left="0"/>
        <w:jc w:val="both"/>
      </w:pPr>
      <w:r>
        <w:rPr>
          <w:rFonts w:ascii="Times New Roman"/>
          <w:b w:val="false"/>
          <w:i w:val="false"/>
          <w:color w:val="000000"/>
          <w:sz w:val="28"/>
        </w:rPr>
        <w:t>
      либо:</w:t>
      </w:r>
    </w:p>
    <w:bookmarkEnd w:id="169"/>
    <w:bookmarkStart w:name="z198" w:id="170"/>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заключенного в соответствии с типовым договором страхования гражданско-правовой ответственности поставщика,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февраля 2022 года № 206 "Об утверждении типового договора страхования гражданско-правовой ответственности поставщика" (зарегистрирован в Реестре государственной регистрации нормативных правовых актов № 26971), для целей обеспечения исполнения договора (обеспечения аванса).</w:t>
      </w:r>
    </w:p>
    <w:bookmarkEnd w:id="170"/>
    <w:bookmarkStart w:name="z199" w:id="171"/>
    <w:p>
      <w:pPr>
        <w:spacing w:after="0"/>
        <w:ind w:left="0"/>
        <w:jc w:val="both"/>
      </w:pPr>
      <w:r>
        <w:rPr>
          <w:rFonts w:ascii="Times New Roman"/>
          <w:b w:val="false"/>
          <w:i w:val="false"/>
          <w:color w:val="000000"/>
          <w:sz w:val="28"/>
        </w:rPr>
        <w:t>
      Договор страхования представляется в форме электронного документа либо на бумажном носителе.</w:t>
      </w:r>
    </w:p>
    <w:bookmarkEnd w:id="171"/>
    <w:bookmarkStart w:name="z200" w:id="172"/>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w:t>
      </w:r>
    </w:p>
    <w:bookmarkEnd w:id="172"/>
    <w:bookmarkStart w:name="z201" w:id="173"/>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в журнале регистрации договоров страхования гражданско-правовой ответственности поставщика.</w:t>
      </w:r>
    </w:p>
    <w:bookmarkEnd w:id="173"/>
    <w:bookmarkStart w:name="z202" w:id="174"/>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74"/>
    <w:bookmarkStart w:name="z203" w:id="175"/>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175"/>
    <w:bookmarkStart w:name="z204" w:id="17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6"/>
    <w:bookmarkStart w:name="z205" w:id="17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77"/>
    <w:bookmarkStart w:name="z206" w:id="17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78"/>
    <w:bookmarkStart w:name="z207" w:id="17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2022 года № 1061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211" w:id="180"/>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услуг (заполняется заказчиком)</w:t>
      </w:r>
    </w:p>
    <w:bookmarkEnd w:id="180"/>
    <w:p>
      <w:pPr>
        <w:spacing w:after="0"/>
        <w:ind w:left="0"/>
        <w:jc w:val="both"/>
      </w:pPr>
      <w:bookmarkStart w:name="z212" w:id="181"/>
      <w:r>
        <w:rPr>
          <w:rFonts w:ascii="Times New Roman"/>
          <w:b w:val="false"/>
          <w:i w:val="false"/>
          <w:color w:val="000000"/>
          <w:sz w:val="28"/>
        </w:rPr>
        <w:t>
      Наименование заказчика _________________________________________________</w:t>
      </w:r>
    </w:p>
    <w:bookmarkEnd w:id="181"/>
    <w:p>
      <w:pPr>
        <w:spacing w:after="0"/>
        <w:ind w:left="0"/>
        <w:jc w:val="both"/>
      </w:pPr>
      <w:r>
        <w:rPr>
          <w:rFonts w:ascii="Times New Roman"/>
          <w:b w:val="false"/>
          <w:i w:val="false"/>
          <w:color w:val="000000"/>
          <w:sz w:val="28"/>
        </w:rPr>
        <w:t>Наименование организатора 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213" w:id="182"/>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82"/>
    <w:bookmarkStart w:name="z214" w:id="183"/>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84"/>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84"/>
    <w:bookmarkStart w:name="z216" w:id="185"/>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85"/>
    <w:bookmarkStart w:name="z217" w:id="186"/>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86"/>
    <w:bookmarkStart w:name="z218" w:id="187"/>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87"/>
    <w:bookmarkStart w:name="z219" w:id="188"/>
    <w:p>
      <w:pPr>
        <w:spacing w:after="0"/>
        <w:ind w:left="0"/>
        <w:jc w:val="both"/>
      </w:pPr>
      <w:r>
        <w:rPr>
          <w:rFonts w:ascii="Times New Roman"/>
          <w:b w:val="false"/>
          <w:i w:val="false"/>
          <w:color w:val="000000"/>
          <w:sz w:val="28"/>
        </w:rPr>
        <w:t>
      Материальные ресурсы: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89"/>
    <w:p>
      <w:pPr>
        <w:spacing w:after="0"/>
        <w:ind w:left="0"/>
        <w:jc w:val="both"/>
      </w:pPr>
      <w:r>
        <w:rPr>
          <w:rFonts w:ascii="Times New Roman"/>
          <w:b w:val="false"/>
          <w:i w:val="false"/>
          <w:color w:val="000000"/>
          <w:sz w:val="28"/>
        </w:rPr>
        <w:t>
      Трудовые ресурсы: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0"/>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пять лет.</w:t>
      </w:r>
    </w:p>
    <w:bookmarkEnd w:id="190"/>
    <w:bookmarkStart w:name="z222" w:id="191"/>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2"/>
    <w:p>
      <w:pPr>
        <w:spacing w:after="0"/>
        <w:ind w:left="0"/>
        <w:jc w:val="both"/>
      </w:pPr>
      <w:r>
        <w:rPr>
          <w:rFonts w:ascii="Times New Roman"/>
          <w:b w:val="false"/>
          <w:i w:val="false"/>
          <w:color w:val="000000"/>
          <w:sz w:val="28"/>
        </w:rPr>
        <w:t>
      Примечание.</w:t>
      </w:r>
    </w:p>
    <w:bookmarkEnd w:id="192"/>
    <w:bookmarkStart w:name="z224" w:id="193"/>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93"/>
    <w:bookmarkStart w:name="z225" w:id="194"/>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2022 года № 1061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конкурсной документации</w:t>
            </w:r>
          </w:p>
        </w:tc>
      </w:tr>
    </w:tbl>
    <w:bookmarkStart w:name="z228" w:id="195"/>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услуг (заполняется потенциальным поставщиком (соисполнителем))</w:t>
      </w:r>
    </w:p>
    <w:bookmarkEnd w:id="195"/>
    <w:p>
      <w:pPr>
        <w:spacing w:after="0"/>
        <w:ind w:left="0"/>
        <w:jc w:val="both"/>
      </w:pPr>
      <w:bookmarkStart w:name="z229" w:id="196"/>
      <w:r>
        <w:rPr>
          <w:rFonts w:ascii="Times New Roman"/>
          <w:b w:val="false"/>
          <w:i w:val="false"/>
          <w:color w:val="000000"/>
          <w:sz w:val="28"/>
        </w:rPr>
        <w:t>
      Наименование заказчика _________________________________________________</w:t>
      </w:r>
    </w:p>
    <w:bookmarkEnd w:id="196"/>
    <w:p>
      <w:pPr>
        <w:spacing w:after="0"/>
        <w:ind w:left="0"/>
        <w:jc w:val="both"/>
      </w:pPr>
      <w:r>
        <w:rPr>
          <w:rFonts w:ascii="Times New Roman"/>
          <w:b w:val="false"/>
          <w:i w:val="false"/>
          <w:color w:val="000000"/>
          <w:sz w:val="28"/>
        </w:rPr>
        <w:t>Наименование организатора 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(соисполнителя)</w:t>
      </w:r>
    </w:p>
    <w:p>
      <w:pPr>
        <w:spacing w:after="0"/>
        <w:ind w:left="0"/>
        <w:jc w:val="both"/>
      </w:pPr>
      <w:r>
        <w:rPr>
          <w:rFonts w:ascii="Times New Roman"/>
          <w:b w:val="false"/>
          <w:i w:val="false"/>
          <w:color w:val="000000"/>
          <w:sz w:val="28"/>
        </w:rPr>
        <w:t>_______________________________________________________________________</w:t>
      </w:r>
    </w:p>
    <w:bookmarkStart w:name="z230" w:id="197"/>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98"/>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bookmarkEnd w:id="198"/>
    <w:bookmarkStart w:name="z232" w:id="199"/>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99"/>
    <w:bookmarkStart w:name="z233" w:id="200"/>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00"/>
    <w:bookmarkStart w:name="z234" w:id="201"/>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bookmarkEnd w:id="201"/>
    <w:bookmarkStart w:name="z235" w:id="202"/>
    <w:p>
      <w:pPr>
        <w:spacing w:after="0"/>
        <w:ind w:left="0"/>
        <w:jc w:val="both"/>
      </w:pPr>
      <w:r>
        <w:rPr>
          <w:rFonts w:ascii="Times New Roman"/>
          <w:b w:val="false"/>
          <w:i w:val="false"/>
          <w:color w:val="000000"/>
          <w:sz w:val="28"/>
        </w:rPr>
        <w:t>
      Материальные ресурсы: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03"/>
    <w:p>
      <w:pPr>
        <w:spacing w:after="0"/>
        <w:ind w:left="0"/>
        <w:jc w:val="both"/>
      </w:pPr>
      <w:r>
        <w:rPr>
          <w:rFonts w:ascii="Times New Roman"/>
          <w:b w:val="false"/>
          <w:i w:val="false"/>
          <w:color w:val="000000"/>
          <w:sz w:val="28"/>
        </w:rPr>
        <w:t>
      Трудовые ресурсы: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4"/>
    <w:p>
      <w:pPr>
        <w:spacing w:after="0"/>
        <w:ind w:left="0"/>
        <w:jc w:val="both"/>
      </w:pPr>
      <w:r>
        <w:rPr>
          <w:rFonts w:ascii="Times New Roman"/>
          <w:b w:val="false"/>
          <w:i w:val="false"/>
          <w:color w:val="000000"/>
          <w:sz w:val="28"/>
        </w:rPr>
        <w:t>
      5. Сведения о наличии опыта оказанных услуг в течение последних пяти лет, предшествующих текущему году, аналогичных (схожих) закупаемым на конкурсе, с приложением электронных копий подтверждающих документов.</w:t>
      </w:r>
    </w:p>
    <w:bookmarkEnd w:id="204"/>
    <w:bookmarkStart w:name="z238" w:id="205"/>
    <w:p>
      <w:pPr>
        <w:spacing w:after="0"/>
        <w:ind w:left="0"/>
        <w:jc w:val="both"/>
      </w:pPr>
      <w:r>
        <w:rPr>
          <w:rFonts w:ascii="Times New Roman"/>
          <w:b w:val="false"/>
          <w:i w:val="false"/>
          <w:color w:val="000000"/>
          <w:sz w:val="28"/>
        </w:rPr>
        <w:t>
      В случае, если на осуществление государственных закупок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6"/>
          <w:p>
            <w:pPr>
              <w:spacing w:after="20"/>
              <w:ind w:left="20"/>
              <w:jc w:val="both"/>
            </w:pPr>
          </w:p>
          <w:bookmarkEnd w:id="206"/>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40" w:id="207"/>
      <w:r>
        <w:rPr>
          <w:rFonts w:ascii="Times New Roman"/>
          <w:b w:val="false"/>
          <w:i w:val="false"/>
          <w:color w:val="000000"/>
          <w:sz w:val="28"/>
        </w:rPr>
        <w:t>
      Расшифровка аббревиатур:</w:t>
      </w:r>
    </w:p>
    <w:bookmarkEnd w:id="20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2022 года № 1061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3" w:id="208"/>
    <w:p>
      <w:pPr>
        <w:spacing w:after="0"/>
        <w:ind w:left="0"/>
        <w:jc w:val="left"/>
      </w:pPr>
      <w:r>
        <w:rPr>
          <w:rFonts w:ascii="Times New Roman"/>
          <w:b/>
          <w:i w:val="false"/>
          <w:color w:val="000000"/>
        </w:rPr>
        <w:t xml:space="preserve"> Формула расчета показателя финансовой устойчивости</w:t>
      </w:r>
    </w:p>
    <w:bookmarkEnd w:id="208"/>
    <w:bookmarkStart w:name="z244" w:id="209"/>
    <w:p>
      <w:pPr>
        <w:spacing w:after="0"/>
        <w:ind w:left="0"/>
        <w:jc w:val="both"/>
      </w:pPr>
      <w:r>
        <w:rPr>
          <w:rFonts w:ascii="Times New Roman"/>
          <w:b w:val="false"/>
          <w:i w:val="false"/>
          <w:color w:val="000000"/>
          <w:sz w:val="28"/>
        </w:rPr>
        <w:t>
      ПФУ = ПД + ПУН + ПФОТ,</w:t>
      </w:r>
    </w:p>
    <w:bookmarkEnd w:id="209"/>
    <w:bookmarkStart w:name="z245" w:id="210"/>
    <w:p>
      <w:pPr>
        <w:spacing w:after="0"/>
        <w:ind w:left="0"/>
        <w:jc w:val="both"/>
      </w:pPr>
      <w:r>
        <w:rPr>
          <w:rFonts w:ascii="Times New Roman"/>
          <w:b w:val="false"/>
          <w:i w:val="false"/>
          <w:color w:val="000000"/>
          <w:sz w:val="28"/>
        </w:rPr>
        <w:t>
      где:</w:t>
      </w:r>
    </w:p>
    <w:bookmarkEnd w:id="210"/>
    <w:bookmarkStart w:name="z246" w:id="211"/>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211"/>
    <w:bookmarkStart w:name="z247" w:id="212"/>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12"/>
    <w:bookmarkStart w:name="z248" w:id="213"/>
    <w:p>
      <w:pPr>
        <w:spacing w:after="0"/>
        <w:ind w:left="0"/>
        <w:jc w:val="both"/>
      </w:pPr>
      <w:r>
        <w:rPr>
          <w:rFonts w:ascii="Times New Roman"/>
          <w:b w:val="false"/>
          <w:i w:val="false"/>
          <w:color w:val="000000"/>
          <w:sz w:val="28"/>
        </w:rPr>
        <w:t>
      ПД = СД / СГЗ x 100 %,</w:t>
      </w:r>
    </w:p>
    <w:bookmarkEnd w:id="213"/>
    <w:bookmarkStart w:name="z249" w:id="214"/>
    <w:p>
      <w:pPr>
        <w:spacing w:after="0"/>
        <w:ind w:left="0"/>
        <w:jc w:val="both"/>
      </w:pPr>
      <w:r>
        <w:rPr>
          <w:rFonts w:ascii="Times New Roman"/>
          <w:b w:val="false"/>
          <w:i w:val="false"/>
          <w:color w:val="000000"/>
          <w:sz w:val="28"/>
        </w:rPr>
        <w:t>
      где:</w:t>
      </w:r>
    </w:p>
    <w:bookmarkEnd w:id="214"/>
    <w:bookmarkStart w:name="z250" w:id="215"/>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15"/>
    <w:bookmarkStart w:name="z251" w:id="216"/>
    <w:p>
      <w:pPr>
        <w:spacing w:after="0"/>
        <w:ind w:left="0"/>
        <w:jc w:val="both"/>
      </w:pPr>
      <w:r>
        <w:rPr>
          <w:rFonts w:ascii="Times New Roman"/>
          <w:b w:val="false"/>
          <w:i w:val="false"/>
          <w:color w:val="000000"/>
          <w:sz w:val="28"/>
        </w:rPr>
        <w:t>
      СГЗ – сумма государственной закупки (лота).</w:t>
      </w:r>
    </w:p>
    <w:bookmarkEnd w:id="216"/>
    <w:bookmarkStart w:name="z252" w:id="217"/>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 то за каждую превышающую ноль целых одну десятую процента (0,1 %) веб-порталом автоматически начисляется дополнительный процент в размере ноль целых пять сотых процента (0,05 %).</w:t>
      </w:r>
    </w:p>
    <w:bookmarkEnd w:id="217"/>
    <w:bookmarkStart w:name="z253" w:id="218"/>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218"/>
    <w:bookmarkStart w:name="z254" w:id="219"/>
    <w:p>
      <w:pPr>
        <w:spacing w:after="0"/>
        <w:ind w:left="0"/>
        <w:jc w:val="both"/>
      </w:pPr>
      <w:r>
        <w:rPr>
          <w:rFonts w:ascii="Times New Roman"/>
          <w:b w:val="false"/>
          <w:i w:val="false"/>
          <w:color w:val="000000"/>
          <w:sz w:val="28"/>
        </w:rPr>
        <w:t>
      ПУН = УН / СД х 100 %,</w:t>
      </w:r>
    </w:p>
    <w:bookmarkEnd w:id="219"/>
    <w:bookmarkStart w:name="z255" w:id="220"/>
    <w:p>
      <w:pPr>
        <w:spacing w:after="0"/>
        <w:ind w:left="0"/>
        <w:jc w:val="both"/>
      </w:pPr>
      <w:r>
        <w:rPr>
          <w:rFonts w:ascii="Times New Roman"/>
          <w:b w:val="false"/>
          <w:i w:val="false"/>
          <w:color w:val="000000"/>
          <w:sz w:val="28"/>
        </w:rPr>
        <w:t>
      где:</w:t>
      </w:r>
    </w:p>
    <w:bookmarkEnd w:id="220"/>
    <w:bookmarkStart w:name="z256" w:id="221"/>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221"/>
    <w:bookmarkStart w:name="z257" w:id="222"/>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22"/>
    <w:bookmarkStart w:name="z258" w:id="223"/>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целях пять десятых процента (0,5 %).</w:t>
      </w:r>
    </w:p>
    <w:bookmarkEnd w:id="223"/>
    <w:bookmarkStart w:name="z259" w:id="224"/>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24"/>
    <w:bookmarkStart w:name="z260" w:id="225"/>
    <w:p>
      <w:pPr>
        <w:spacing w:after="0"/>
        <w:ind w:left="0"/>
        <w:jc w:val="both"/>
      </w:pPr>
      <w:r>
        <w:rPr>
          <w:rFonts w:ascii="Times New Roman"/>
          <w:b w:val="false"/>
          <w:i w:val="false"/>
          <w:color w:val="000000"/>
          <w:sz w:val="28"/>
        </w:rPr>
        <w:t>
      ПФОТ = ФОТ / СГЗ x 100 %,</w:t>
      </w:r>
    </w:p>
    <w:bookmarkEnd w:id="225"/>
    <w:bookmarkStart w:name="z261" w:id="226"/>
    <w:p>
      <w:pPr>
        <w:spacing w:after="0"/>
        <w:ind w:left="0"/>
        <w:jc w:val="both"/>
      </w:pPr>
      <w:r>
        <w:rPr>
          <w:rFonts w:ascii="Times New Roman"/>
          <w:b w:val="false"/>
          <w:i w:val="false"/>
          <w:color w:val="000000"/>
          <w:sz w:val="28"/>
        </w:rPr>
        <w:t>
      где:</w:t>
      </w:r>
    </w:p>
    <w:bookmarkEnd w:id="226"/>
    <w:bookmarkStart w:name="z262" w:id="227"/>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27"/>
    <w:bookmarkStart w:name="z263" w:id="228"/>
    <w:p>
      <w:pPr>
        <w:spacing w:after="0"/>
        <w:ind w:left="0"/>
        <w:jc w:val="both"/>
      </w:pPr>
      <w:r>
        <w:rPr>
          <w:rFonts w:ascii="Times New Roman"/>
          <w:b w:val="false"/>
          <w:i w:val="false"/>
          <w:color w:val="000000"/>
          <w:sz w:val="28"/>
        </w:rPr>
        <w:t>
      СГЗ – сумма государственной закупки.</w:t>
      </w:r>
    </w:p>
    <w:bookmarkEnd w:id="228"/>
    <w:bookmarkStart w:name="z264" w:id="229"/>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 то за каждую превышающую ноль целых одну десятую процента (0,1 %) веб-порталом автоматически начисляется дополнительный процент в размере ноль целых одной десятой процента (0,1 %).</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266" w:id="230"/>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по закупкам, стоимость которых не превышает двухстатысячекратного размера месячного расчетного показателя, установленного на соответствующий финансовый год</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268" w:id="231"/>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составляет в пределах от двухстатысячекратного до четырехстатысячекратного размера месячного расчетного показателя, установленного на соответствующий финансовый год</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270" w:id="232"/>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составляет в пределах от четырехстатысячекратного до восьмистатысячекратного размера месячного расчетного показателя, установленного на соответствующий финансовый год</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272" w:id="233"/>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составляет в пределах от восьмистатысячекратного до одного миллиона шестистатысячекратного размера месячного расчетного показателя, установленного на соответствующий финансовый год</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каждый превышающий 0,1 процент минимального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значение показателя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274" w:id="234"/>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составляет в пределах от одного миллиона шестистатысячекратного до трех миллионов двухстатысячакратного размера месячного расчетного показателя, установленного на соответствующий финансовый год</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276" w:id="235"/>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превышает трех миллионов двухстатысячакратного размера месячного расчетного показателя, установленного на соответствующий финансовый год</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2022 года № 1061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79" w:id="236"/>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w:t>
      </w:r>
    </w:p>
    <w:bookmarkEnd w:id="236"/>
    <w:bookmarkStart w:name="z280" w:id="237"/>
    <w:p>
      <w:pPr>
        <w:spacing w:after="0"/>
        <w:ind w:left="0"/>
        <w:jc w:val="both"/>
      </w:pPr>
      <w:r>
        <w:rPr>
          <w:rFonts w:ascii="Times New Roman"/>
          <w:b w:val="false"/>
          <w:i w:val="false"/>
          <w:color w:val="000000"/>
          <w:sz w:val="28"/>
        </w:rPr>
        <w:t>
      ПФУ = ПД + ПУН + ПФОТ,</w:t>
      </w:r>
    </w:p>
    <w:bookmarkEnd w:id="237"/>
    <w:bookmarkStart w:name="z281" w:id="238"/>
    <w:p>
      <w:pPr>
        <w:spacing w:after="0"/>
        <w:ind w:left="0"/>
        <w:jc w:val="both"/>
      </w:pPr>
      <w:r>
        <w:rPr>
          <w:rFonts w:ascii="Times New Roman"/>
          <w:b w:val="false"/>
          <w:i w:val="false"/>
          <w:color w:val="000000"/>
          <w:sz w:val="28"/>
        </w:rPr>
        <w:t>
      где:</w:t>
      </w:r>
    </w:p>
    <w:bookmarkEnd w:id="238"/>
    <w:bookmarkStart w:name="z282" w:id="239"/>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239"/>
    <w:bookmarkStart w:name="z283" w:id="240"/>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40"/>
    <w:bookmarkStart w:name="z284" w:id="241"/>
    <w:p>
      <w:pPr>
        <w:spacing w:after="0"/>
        <w:ind w:left="0"/>
        <w:jc w:val="both"/>
      </w:pPr>
      <w:r>
        <w:rPr>
          <w:rFonts w:ascii="Times New Roman"/>
          <w:b w:val="false"/>
          <w:i w:val="false"/>
          <w:color w:val="000000"/>
          <w:sz w:val="28"/>
        </w:rPr>
        <w:t>
      ПД = СД / СГЗ x 100%,</w:t>
      </w:r>
    </w:p>
    <w:bookmarkEnd w:id="241"/>
    <w:bookmarkStart w:name="z285" w:id="242"/>
    <w:p>
      <w:pPr>
        <w:spacing w:after="0"/>
        <w:ind w:left="0"/>
        <w:jc w:val="both"/>
      </w:pPr>
      <w:r>
        <w:rPr>
          <w:rFonts w:ascii="Times New Roman"/>
          <w:b w:val="false"/>
          <w:i w:val="false"/>
          <w:color w:val="000000"/>
          <w:sz w:val="28"/>
        </w:rPr>
        <w:t>
      где:</w:t>
      </w:r>
    </w:p>
    <w:bookmarkEnd w:id="242"/>
    <w:bookmarkStart w:name="z286" w:id="243"/>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43"/>
    <w:bookmarkStart w:name="z287" w:id="244"/>
    <w:p>
      <w:pPr>
        <w:spacing w:after="0"/>
        <w:ind w:left="0"/>
        <w:jc w:val="both"/>
      </w:pPr>
      <w:r>
        <w:rPr>
          <w:rFonts w:ascii="Times New Roman"/>
          <w:b w:val="false"/>
          <w:i w:val="false"/>
          <w:color w:val="000000"/>
          <w:sz w:val="28"/>
        </w:rPr>
        <w:t>
      СГЗ – сумма государственной закупки (лота).</w:t>
      </w:r>
    </w:p>
    <w:bookmarkEnd w:id="244"/>
    <w:bookmarkStart w:name="z288" w:id="245"/>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245"/>
    <w:bookmarkStart w:name="z289" w:id="246"/>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246"/>
    <w:bookmarkStart w:name="z290" w:id="247"/>
    <w:p>
      <w:pPr>
        <w:spacing w:after="0"/>
        <w:ind w:left="0"/>
        <w:jc w:val="both"/>
      </w:pPr>
      <w:r>
        <w:rPr>
          <w:rFonts w:ascii="Times New Roman"/>
          <w:b w:val="false"/>
          <w:i w:val="false"/>
          <w:color w:val="000000"/>
          <w:sz w:val="28"/>
        </w:rPr>
        <w:t>
      ПУН = УН / СД х 100%,</w:t>
      </w:r>
    </w:p>
    <w:bookmarkEnd w:id="247"/>
    <w:bookmarkStart w:name="z291" w:id="248"/>
    <w:p>
      <w:pPr>
        <w:spacing w:after="0"/>
        <w:ind w:left="0"/>
        <w:jc w:val="both"/>
      </w:pPr>
      <w:r>
        <w:rPr>
          <w:rFonts w:ascii="Times New Roman"/>
          <w:b w:val="false"/>
          <w:i w:val="false"/>
          <w:color w:val="000000"/>
          <w:sz w:val="28"/>
        </w:rPr>
        <w:t>
      где:</w:t>
      </w:r>
    </w:p>
    <w:bookmarkEnd w:id="248"/>
    <w:bookmarkStart w:name="z292" w:id="249"/>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249"/>
    <w:bookmarkStart w:name="z293" w:id="250"/>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50"/>
    <w:bookmarkStart w:name="z294" w:id="251"/>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251"/>
    <w:bookmarkStart w:name="z295" w:id="252"/>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52"/>
    <w:bookmarkStart w:name="z296" w:id="253"/>
    <w:p>
      <w:pPr>
        <w:spacing w:after="0"/>
        <w:ind w:left="0"/>
        <w:jc w:val="both"/>
      </w:pPr>
      <w:r>
        <w:rPr>
          <w:rFonts w:ascii="Times New Roman"/>
          <w:b w:val="false"/>
          <w:i w:val="false"/>
          <w:color w:val="000000"/>
          <w:sz w:val="28"/>
        </w:rPr>
        <w:t>
      ПФОТ = ФОТ / СГЗ x 100%,</w:t>
      </w:r>
    </w:p>
    <w:bookmarkEnd w:id="253"/>
    <w:bookmarkStart w:name="z297" w:id="254"/>
    <w:p>
      <w:pPr>
        <w:spacing w:after="0"/>
        <w:ind w:left="0"/>
        <w:jc w:val="both"/>
      </w:pPr>
      <w:r>
        <w:rPr>
          <w:rFonts w:ascii="Times New Roman"/>
          <w:b w:val="false"/>
          <w:i w:val="false"/>
          <w:color w:val="000000"/>
          <w:sz w:val="28"/>
        </w:rPr>
        <w:t>
      где:</w:t>
      </w:r>
    </w:p>
    <w:bookmarkEnd w:id="254"/>
    <w:bookmarkStart w:name="z298" w:id="255"/>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55"/>
    <w:bookmarkStart w:name="z299" w:id="256"/>
    <w:p>
      <w:pPr>
        <w:spacing w:after="0"/>
        <w:ind w:left="0"/>
        <w:jc w:val="both"/>
      </w:pPr>
      <w:r>
        <w:rPr>
          <w:rFonts w:ascii="Times New Roman"/>
          <w:b w:val="false"/>
          <w:i w:val="false"/>
          <w:color w:val="000000"/>
          <w:sz w:val="28"/>
        </w:rPr>
        <w:t>
      СГЗ – сумма государственной закупки.</w:t>
      </w:r>
    </w:p>
    <w:bookmarkEnd w:id="256"/>
    <w:bookmarkStart w:name="z300" w:id="257"/>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02" w:id="258"/>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не превышает четырехтысячекратный размер месячного расчетного показателя, установленного на соответствующий финансовый год</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04" w:id="259"/>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06" w:id="260"/>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08" w:id="261"/>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10" w:id="262"/>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превышает тридцатидвухтысячекратный размер месячного расчетного показателя, установленного на соответствующий финансовый год</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2022 года № 1061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3" w:id="263"/>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w:t>
      </w:r>
    </w:p>
    <w:bookmarkEnd w:id="263"/>
    <w:bookmarkStart w:name="z314" w:id="264"/>
    <w:p>
      <w:pPr>
        <w:spacing w:after="0"/>
        <w:ind w:left="0"/>
        <w:jc w:val="both"/>
      </w:pPr>
      <w:r>
        <w:rPr>
          <w:rFonts w:ascii="Times New Roman"/>
          <w:b w:val="false"/>
          <w:i w:val="false"/>
          <w:color w:val="000000"/>
          <w:sz w:val="28"/>
        </w:rPr>
        <w:t>
      ПФУ = ПД + ПУН + ПФОТ,</w:t>
      </w:r>
    </w:p>
    <w:bookmarkEnd w:id="264"/>
    <w:bookmarkStart w:name="z315" w:id="265"/>
    <w:p>
      <w:pPr>
        <w:spacing w:after="0"/>
        <w:ind w:left="0"/>
        <w:jc w:val="both"/>
      </w:pPr>
      <w:r>
        <w:rPr>
          <w:rFonts w:ascii="Times New Roman"/>
          <w:b w:val="false"/>
          <w:i w:val="false"/>
          <w:color w:val="000000"/>
          <w:sz w:val="28"/>
        </w:rPr>
        <w:t>
      где:</w:t>
      </w:r>
    </w:p>
    <w:bookmarkEnd w:id="265"/>
    <w:bookmarkStart w:name="z316" w:id="266"/>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266"/>
    <w:bookmarkStart w:name="z317" w:id="267"/>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67"/>
    <w:bookmarkStart w:name="z318" w:id="268"/>
    <w:p>
      <w:pPr>
        <w:spacing w:after="0"/>
        <w:ind w:left="0"/>
        <w:jc w:val="both"/>
      </w:pPr>
      <w:r>
        <w:rPr>
          <w:rFonts w:ascii="Times New Roman"/>
          <w:b w:val="false"/>
          <w:i w:val="false"/>
          <w:color w:val="000000"/>
          <w:sz w:val="28"/>
        </w:rPr>
        <w:t>
      ПД = СД / СГЗ x 100%,</w:t>
      </w:r>
    </w:p>
    <w:bookmarkEnd w:id="268"/>
    <w:bookmarkStart w:name="z319" w:id="269"/>
    <w:p>
      <w:pPr>
        <w:spacing w:after="0"/>
        <w:ind w:left="0"/>
        <w:jc w:val="both"/>
      </w:pPr>
      <w:r>
        <w:rPr>
          <w:rFonts w:ascii="Times New Roman"/>
          <w:b w:val="false"/>
          <w:i w:val="false"/>
          <w:color w:val="000000"/>
          <w:sz w:val="28"/>
        </w:rPr>
        <w:t>
      где:</w:t>
      </w:r>
    </w:p>
    <w:bookmarkEnd w:id="269"/>
    <w:bookmarkStart w:name="z320" w:id="270"/>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70"/>
    <w:bookmarkStart w:name="z321" w:id="271"/>
    <w:p>
      <w:pPr>
        <w:spacing w:after="0"/>
        <w:ind w:left="0"/>
        <w:jc w:val="both"/>
      </w:pPr>
      <w:r>
        <w:rPr>
          <w:rFonts w:ascii="Times New Roman"/>
          <w:b w:val="false"/>
          <w:i w:val="false"/>
          <w:color w:val="000000"/>
          <w:sz w:val="28"/>
        </w:rPr>
        <w:t>
      СГЗ – сумма государственной закупки (лота).</w:t>
      </w:r>
    </w:p>
    <w:bookmarkEnd w:id="271"/>
    <w:bookmarkStart w:name="z322" w:id="272"/>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272"/>
    <w:bookmarkStart w:name="z323" w:id="273"/>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273"/>
    <w:bookmarkStart w:name="z324" w:id="274"/>
    <w:p>
      <w:pPr>
        <w:spacing w:after="0"/>
        <w:ind w:left="0"/>
        <w:jc w:val="both"/>
      </w:pPr>
      <w:r>
        <w:rPr>
          <w:rFonts w:ascii="Times New Roman"/>
          <w:b w:val="false"/>
          <w:i w:val="false"/>
          <w:color w:val="000000"/>
          <w:sz w:val="28"/>
        </w:rPr>
        <w:t>
      ПУН = УН / СД х 100%,</w:t>
      </w:r>
    </w:p>
    <w:bookmarkEnd w:id="274"/>
    <w:bookmarkStart w:name="z325" w:id="275"/>
    <w:p>
      <w:pPr>
        <w:spacing w:after="0"/>
        <w:ind w:left="0"/>
        <w:jc w:val="both"/>
      </w:pPr>
      <w:r>
        <w:rPr>
          <w:rFonts w:ascii="Times New Roman"/>
          <w:b w:val="false"/>
          <w:i w:val="false"/>
          <w:color w:val="000000"/>
          <w:sz w:val="28"/>
        </w:rPr>
        <w:t>
      где:</w:t>
      </w:r>
    </w:p>
    <w:bookmarkEnd w:id="275"/>
    <w:bookmarkStart w:name="z326" w:id="276"/>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276"/>
    <w:bookmarkStart w:name="z327" w:id="277"/>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77"/>
    <w:bookmarkStart w:name="z328" w:id="278"/>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278"/>
    <w:bookmarkStart w:name="z329" w:id="279"/>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79"/>
    <w:bookmarkStart w:name="z330" w:id="280"/>
    <w:p>
      <w:pPr>
        <w:spacing w:after="0"/>
        <w:ind w:left="0"/>
        <w:jc w:val="both"/>
      </w:pPr>
      <w:r>
        <w:rPr>
          <w:rFonts w:ascii="Times New Roman"/>
          <w:b w:val="false"/>
          <w:i w:val="false"/>
          <w:color w:val="000000"/>
          <w:sz w:val="28"/>
        </w:rPr>
        <w:t>
      ПФОТ = ФОТ / СГЗ x 100%,</w:t>
      </w:r>
    </w:p>
    <w:bookmarkEnd w:id="280"/>
    <w:bookmarkStart w:name="z331" w:id="281"/>
    <w:p>
      <w:pPr>
        <w:spacing w:after="0"/>
        <w:ind w:left="0"/>
        <w:jc w:val="both"/>
      </w:pPr>
      <w:r>
        <w:rPr>
          <w:rFonts w:ascii="Times New Roman"/>
          <w:b w:val="false"/>
          <w:i w:val="false"/>
          <w:color w:val="000000"/>
          <w:sz w:val="28"/>
        </w:rPr>
        <w:t>
      где:</w:t>
      </w:r>
    </w:p>
    <w:bookmarkEnd w:id="281"/>
    <w:bookmarkStart w:name="z332" w:id="282"/>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82"/>
    <w:bookmarkStart w:name="z333" w:id="283"/>
    <w:p>
      <w:pPr>
        <w:spacing w:after="0"/>
        <w:ind w:left="0"/>
        <w:jc w:val="both"/>
      </w:pPr>
      <w:r>
        <w:rPr>
          <w:rFonts w:ascii="Times New Roman"/>
          <w:b w:val="false"/>
          <w:i w:val="false"/>
          <w:color w:val="000000"/>
          <w:sz w:val="28"/>
        </w:rPr>
        <w:t>
      СГЗ – сумма государственной закупки.</w:t>
      </w:r>
    </w:p>
    <w:bookmarkEnd w:id="283"/>
    <w:bookmarkStart w:name="z334" w:id="284"/>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36" w:id="285"/>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не превышает тысячекратный размер месячного расчетного показателя, установленного на соответствующий финансовый год</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38" w:id="286"/>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составляет в пределах от тысячекратного до четырехтысячекратного размера месячного расчетного показателя, установленного на соответствующий финансовый год</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40" w:id="287"/>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42" w:id="288"/>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44" w:id="289"/>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46" w:id="290"/>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превышает тридцатидвухтысячекратный размер месячного расчетного показателя, установленного на соответствующий финансовый год</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2022 года № 1061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49" w:id="291"/>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bookmarkEnd w:id="291"/>
    <w:bookmarkStart w:name="z350" w:id="292"/>
    <w:p>
      <w:pPr>
        <w:spacing w:after="0"/>
        <w:ind w:left="0"/>
        <w:jc w:val="both"/>
      </w:pPr>
      <w:r>
        <w:rPr>
          <w:rFonts w:ascii="Times New Roman"/>
          <w:b w:val="false"/>
          <w:i w:val="false"/>
          <w:color w:val="000000"/>
          <w:sz w:val="28"/>
        </w:rPr>
        <w:t>
      ПФУ = ПД + ПУН + ПФОТ,</w:t>
      </w:r>
    </w:p>
    <w:bookmarkEnd w:id="292"/>
    <w:bookmarkStart w:name="z351" w:id="293"/>
    <w:p>
      <w:pPr>
        <w:spacing w:after="0"/>
        <w:ind w:left="0"/>
        <w:jc w:val="both"/>
      </w:pPr>
      <w:r>
        <w:rPr>
          <w:rFonts w:ascii="Times New Roman"/>
          <w:b w:val="false"/>
          <w:i w:val="false"/>
          <w:color w:val="000000"/>
          <w:sz w:val="28"/>
        </w:rPr>
        <w:t>
      где:</w:t>
      </w:r>
    </w:p>
    <w:bookmarkEnd w:id="293"/>
    <w:bookmarkStart w:name="z352" w:id="294"/>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294"/>
    <w:bookmarkStart w:name="z353" w:id="295"/>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95"/>
    <w:bookmarkStart w:name="z354" w:id="296"/>
    <w:p>
      <w:pPr>
        <w:spacing w:after="0"/>
        <w:ind w:left="0"/>
        <w:jc w:val="both"/>
      </w:pPr>
      <w:r>
        <w:rPr>
          <w:rFonts w:ascii="Times New Roman"/>
          <w:b w:val="false"/>
          <w:i w:val="false"/>
          <w:color w:val="000000"/>
          <w:sz w:val="28"/>
        </w:rPr>
        <w:t>
      ПД = СД / СГЗ x 100%,</w:t>
      </w:r>
    </w:p>
    <w:bookmarkEnd w:id="296"/>
    <w:bookmarkStart w:name="z355" w:id="297"/>
    <w:p>
      <w:pPr>
        <w:spacing w:after="0"/>
        <w:ind w:left="0"/>
        <w:jc w:val="both"/>
      </w:pPr>
      <w:r>
        <w:rPr>
          <w:rFonts w:ascii="Times New Roman"/>
          <w:b w:val="false"/>
          <w:i w:val="false"/>
          <w:color w:val="000000"/>
          <w:sz w:val="28"/>
        </w:rPr>
        <w:t>
      где:</w:t>
      </w:r>
    </w:p>
    <w:bookmarkEnd w:id="297"/>
    <w:bookmarkStart w:name="z356" w:id="298"/>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298"/>
    <w:bookmarkStart w:name="z357" w:id="299"/>
    <w:p>
      <w:pPr>
        <w:spacing w:after="0"/>
        <w:ind w:left="0"/>
        <w:jc w:val="both"/>
      </w:pPr>
      <w:r>
        <w:rPr>
          <w:rFonts w:ascii="Times New Roman"/>
          <w:b w:val="false"/>
          <w:i w:val="false"/>
          <w:color w:val="000000"/>
          <w:sz w:val="28"/>
        </w:rPr>
        <w:t>
      СГЗ – сумма государственной закупки (лота).</w:t>
      </w:r>
    </w:p>
    <w:bookmarkEnd w:id="299"/>
    <w:bookmarkStart w:name="z358" w:id="300"/>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300"/>
    <w:bookmarkStart w:name="z359" w:id="301"/>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301"/>
    <w:bookmarkStart w:name="z360" w:id="302"/>
    <w:p>
      <w:pPr>
        <w:spacing w:after="0"/>
        <w:ind w:left="0"/>
        <w:jc w:val="both"/>
      </w:pPr>
      <w:r>
        <w:rPr>
          <w:rFonts w:ascii="Times New Roman"/>
          <w:b w:val="false"/>
          <w:i w:val="false"/>
          <w:color w:val="000000"/>
          <w:sz w:val="28"/>
        </w:rPr>
        <w:t>
      ПУН = УН / СД х 100%,</w:t>
      </w:r>
    </w:p>
    <w:bookmarkEnd w:id="302"/>
    <w:bookmarkStart w:name="z361" w:id="303"/>
    <w:p>
      <w:pPr>
        <w:spacing w:after="0"/>
        <w:ind w:left="0"/>
        <w:jc w:val="both"/>
      </w:pPr>
      <w:r>
        <w:rPr>
          <w:rFonts w:ascii="Times New Roman"/>
          <w:b w:val="false"/>
          <w:i w:val="false"/>
          <w:color w:val="000000"/>
          <w:sz w:val="28"/>
        </w:rPr>
        <w:t>
      где:</w:t>
      </w:r>
    </w:p>
    <w:bookmarkEnd w:id="303"/>
    <w:bookmarkStart w:name="z362" w:id="304"/>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304"/>
    <w:bookmarkStart w:name="z363" w:id="305"/>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305"/>
    <w:bookmarkStart w:name="z364" w:id="306"/>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306"/>
    <w:bookmarkStart w:name="z365" w:id="307"/>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307"/>
    <w:bookmarkStart w:name="z366" w:id="308"/>
    <w:p>
      <w:pPr>
        <w:spacing w:after="0"/>
        <w:ind w:left="0"/>
        <w:jc w:val="both"/>
      </w:pPr>
      <w:r>
        <w:rPr>
          <w:rFonts w:ascii="Times New Roman"/>
          <w:b w:val="false"/>
          <w:i w:val="false"/>
          <w:color w:val="000000"/>
          <w:sz w:val="28"/>
        </w:rPr>
        <w:t>
      ПФОТ = ФОТ / СГЗ x 100%,</w:t>
      </w:r>
    </w:p>
    <w:bookmarkEnd w:id="308"/>
    <w:bookmarkStart w:name="z367" w:id="309"/>
    <w:p>
      <w:pPr>
        <w:spacing w:after="0"/>
        <w:ind w:left="0"/>
        <w:jc w:val="both"/>
      </w:pPr>
      <w:r>
        <w:rPr>
          <w:rFonts w:ascii="Times New Roman"/>
          <w:b w:val="false"/>
          <w:i w:val="false"/>
          <w:color w:val="000000"/>
          <w:sz w:val="28"/>
        </w:rPr>
        <w:t>
      где:</w:t>
      </w:r>
    </w:p>
    <w:bookmarkEnd w:id="309"/>
    <w:bookmarkStart w:name="z368" w:id="310"/>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310"/>
    <w:bookmarkStart w:name="z369" w:id="311"/>
    <w:p>
      <w:pPr>
        <w:spacing w:after="0"/>
        <w:ind w:left="0"/>
        <w:jc w:val="both"/>
      </w:pPr>
      <w:r>
        <w:rPr>
          <w:rFonts w:ascii="Times New Roman"/>
          <w:b w:val="false"/>
          <w:i w:val="false"/>
          <w:color w:val="000000"/>
          <w:sz w:val="28"/>
        </w:rPr>
        <w:t>
      СГЗ – сумма государственной закупки.</w:t>
      </w:r>
    </w:p>
    <w:bookmarkEnd w:id="311"/>
    <w:bookmarkStart w:name="z370" w:id="312"/>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372" w:id="313"/>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2022 года № 1061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75" w:id="314"/>
    <w:p>
      <w:pPr>
        <w:spacing w:after="0"/>
        <w:ind w:left="0"/>
        <w:jc w:val="left"/>
      </w:pPr>
      <w:r>
        <w:rPr>
          <w:rFonts w:ascii="Times New Roman"/>
          <w:b/>
          <w:i w:val="false"/>
          <w:color w:val="000000"/>
        </w:rPr>
        <w:t xml:space="preserve"> Отчет о государственных закупках из одного источника путем прямого заключения договора о государственных закупках</w:t>
      </w:r>
    </w:p>
    <w:bookmarkEnd w:id="314"/>
    <w:p>
      <w:pPr>
        <w:spacing w:after="0"/>
        <w:ind w:left="0"/>
        <w:jc w:val="both"/>
      </w:pPr>
      <w:bookmarkStart w:name="z376" w:id="315"/>
      <w:r>
        <w:rPr>
          <w:rFonts w:ascii="Times New Roman"/>
          <w:b w:val="false"/>
          <w:i w:val="false"/>
          <w:color w:val="000000"/>
          <w:sz w:val="28"/>
        </w:rPr>
        <w:t>
      № лота/идентификационный код закупки _____________________________________</w:t>
      </w:r>
    </w:p>
    <w:bookmarkEnd w:id="315"/>
    <w:p>
      <w:pPr>
        <w:spacing w:after="0"/>
        <w:ind w:left="0"/>
        <w:jc w:val="both"/>
      </w:pPr>
      <w:r>
        <w:rPr>
          <w:rFonts w:ascii="Times New Roman"/>
          <w:b w:val="false"/>
          <w:i w:val="false"/>
          <w:color w:val="000000"/>
          <w:sz w:val="28"/>
        </w:rPr>
        <w:t>Наименование лота /закупки________________________________________________</w:t>
      </w:r>
    </w:p>
    <w:p>
      <w:pPr>
        <w:spacing w:after="0"/>
        <w:ind w:left="0"/>
        <w:jc w:val="both"/>
      </w:pPr>
      <w:r>
        <w:rPr>
          <w:rFonts w:ascii="Times New Roman"/>
          <w:b w:val="false"/>
          <w:i w:val="false"/>
          <w:color w:val="000000"/>
          <w:sz w:val="28"/>
        </w:rPr>
        <w:t>Закупаемые товары (работы, услуги):</w:t>
      </w:r>
    </w:p>
    <w:bookmarkStart w:name="z377" w:id="316"/>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17"/>
    <w:p>
      <w:pPr>
        <w:spacing w:after="0"/>
        <w:ind w:left="0"/>
        <w:jc w:val="both"/>
      </w:pPr>
      <w:r>
        <w:rPr>
          <w:rFonts w:ascii="Times New Roman"/>
          <w:b w:val="false"/>
          <w:i w:val="false"/>
          <w:color w:val="000000"/>
          <w:sz w:val="28"/>
        </w:rPr>
        <w:t>
      2. Обоснование причин невозможности осуществления государственных закупок иными способами, указанными в подпунктах 1), 2), 3), 5) и 6) пункта 1 статьи 13 Закона: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18"/>
    <w:p>
      <w:pPr>
        <w:spacing w:after="0"/>
        <w:ind w:left="0"/>
        <w:jc w:val="both"/>
      </w:pPr>
      <w:r>
        <w:rPr>
          <w:rFonts w:ascii="Times New Roman"/>
          <w:b w:val="false"/>
          <w:i w:val="false"/>
          <w:color w:val="000000"/>
          <w:sz w:val="28"/>
        </w:rPr>
        <w:t>
      3. Сведения о потенциальных поставщиках, которым направлены запросы о предоставлении коммерческого предложения*:</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запроса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19"/>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20"/>
    <w:p>
      <w:pPr>
        <w:spacing w:after="0"/>
        <w:ind w:left="0"/>
        <w:jc w:val="both"/>
      </w:pPr>
      <w:r>
        <w:rPr>
          <w:rFonts w:ascii="Times New Roman"/>
          <w:b w:val="false"/>
          <w:i w:val="false"/>
          <w:color w:val="000000"/>
          <w:sz w:val="28"/>
        </w:rPr>
        <w:t>
      5. Сведения о потенциальных поставщиках, которые представили коммерческое предложение по своей инициативе (прайс-листы и другие подтверждающие документы)*: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21"/>
    <w:p>
      <w:pPr>
        <w:spacing w:after="0"/>
        <w:ind w:left="0"/>
        <w:jc w:val="both"/>
      </w:pPr>
      <w:r>
        <w:rPr>
          <w:rFonts w:ascii="Times New Roman"/>
          <w:b w:val="false"/>
          <w:i w:val="false"/>
          <w:color w:val="000000"/>
          <w:sz w:val="28"/>
        </w:rPr>
        <w:t>
      6. Обоснование выбора поставщика и цены заключенного договора о государственных закупках, а также иные условия договора.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(ИИН)/ИНН/ УНП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 w:id="322"/>
      <w:r>
        <w:rPr>
          <w:rFonts w:ascii="Times New Roman"/>
          <w:b w:val="false"/>
          <w:i w:val="false"/>
          <w:color w:val="000000"/>
          <w:sz w:val="28"/>
        </w:rPr>
        <w:t>
      * пункты 3, 4, 5 настоящего отчета отображаются в случаях, указанных в пункте 473 настоящих Правил.</w:t>
      </w:r>
    </w:p>
    <w:bookmarkEnd w:id="322"/>
    <w:p>
      <w:pPr>
        <w:spacing w:after="0"/>
        <w:ind w:left="0"/>
        <w:jc w:val="both"/>
      </w:pPr>
      <w:r>
        <w:rPr>
          <w:rFonts w:ascii="Times New Roman"/>
          <w:b w:val="false"/>
          <w:i w:val="false"/>
          <w:color w:val="000000"/>
          <w:sz w:val="28"/>
        </w:rPr>
        <w:t>Ф.И.О. и должность представителя заказчика, Подпись</w:t>
      </w:r>
    </w:p>
    <w:p>
      <w:pPr>
        <w:spacing w:after="0"/>
        <w:ind w:left="0"/>
        <w:jc w:val="both"/>
      </w:pPr>
      <w:r>
        <w:rPr>
          <w:rFonts w:ascii="Times New Roman"/>
          <w:b w:val="false"/>
          <w:i w:val="false"/>
          <w:color w:val="000000"/>
          <w:sz w:val="28"/>
        </w:rPr>
        <w:t>принявшего решение об определении</w:t>
      </w:r>
    </w:p>
    <w:p>
      <w:pPr>
        <w:spacing w:after="0"/>
        <w:ind w:left="0"/>
        <w:jc w:val="both"/>
      </w:pPr>
      <w:r>
        <w:rPr>
          <w:rFonts w:ascii="Times New Roman"/>
          <w:b w:val="false"/>
          <w:i w:val="false"/>
          <w:color w:val="000000"/>
          <w:sz w:val="28"/>
        </w:rPr>
        <w:t>потенциального поставщика</w:t>
      </w:r>
    </w:p>
    <w:p>
      <w:pPr>
        <w:spacing w:after="0"/>
        <w:ind w:left="0"/>
        <w:jc w:val="both"/>
      </w:pPr>
      <w:r>
        <w:rPr>
          <w:rFonts w:ascii="Times New Roman"/>
          <w:b w:val="false"/>
          <w:i w:val="false"/>
          <w:color w:val="000000"/>
          <w:sz w:val="28"/>
        </w:rPr>
        <w:t>для приглашения к участию</w:t>
      </w:r>
    </w:p>
    <w:p>
      <w:pPr>
        <w:spacing w:after="0"/>
        <w:ind w:left="0"/>
        <w:jc w:val="both"/>
      </w:pPr>
      <w:r>
        <w:rPr>
          <w:rFonts w:ascii="Times New Roman"/>
          <w:b w:val="false"/>
          <w:i w:val="false"/>
          <w:color w:val="000000"/>
          <w:sz w:val="28"/>
        </w:rPr>
        <w:t>в государственных закупках из одного источника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