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658d" w14:textId="5386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30 сентября 2022 года № 196. Зарегистрирован в Министерстве юстиции Республики Казахстан 3 октября 2022 года № 29973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наличии либо отсутствии судимости",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абонентское устройство сотовой связи либо через некоммерческое акционерное общество "Государственная корпорация "Правительство для граждан" (далее – Государственная корпорация) заявление о выдаче справки о наличии либо отсутствии судимости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справки о наличии либо отсутствии судимости"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
    <w:bookmarkStart w:name="z13" w:id="7"/>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прокуратуры, органов следствия и дознания", утвержденных указанным приказом (далее – Правила):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"4. Для получения государственной услуги услугополучатели подают услугодателю через некоммерческое акционерное общество "Государственная корпорация "Правительство для граждан" (далее – Государственная корпорация) заявление на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
    <w:bookmarkStart w:name="z18"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0"/>
    <w:bookmarkStart w:name="z19" w:id="11"/>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1"/>
    <w:bookmarkStart w:name="z20" w:id="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"По итогам проверки в течение 1 (одного) рабочего дня оформляется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 согласно пункта 9 Перечня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4"/>
    <w:bookmarkStart w:name="z24" w:id="15"/>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утвержденных указанным приказом (далее – Правила):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в форме согласно приложению 1 к настоящим Правилам с приложением документов, указанных в перечне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9"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8"/>
    <w:bookmarkStart w:name="z30" w:id="19"/>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31" w:id="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0"/>
    <w:bookmarkStart w:name="z32" w:id="21"/>
    <w:p>
      <w:pPr>
        <w:spacing w:after="0"/>
        <w:ind w:left="0"/>
        <w:jc w:val="both"/>
      </w:pPr>
      <w:r>
        <w:rPr>
          <w:rFonts w:ascii="Times New Roman"/>
          <w:b w:val="false"/>
          <w:i w:val="false"/>
          <w:color w:val="000000"/>
          <w:sz w:val="28"/>
        </w:rPr>
        <w:t>
      "При соответствии пакета документов требованиям Перечня государственной услуги услугодатель в течение 8 (восьми) рабочих дней осуществляет поиск запрашиваемой информации в неавтоматизированной (бумажной) картотеке учета лиц, направленных на спецпоселение, а также в АИС услугодателя.";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2"/>
    <w:bookmarkStart w:name="z35" w:id="23"/>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сведений о совершении лицом коррупционного преступления, утвержденных указанным приказом (далее – Правила):</w:t>
      </w:r>
    </w:p>
    <w:bookmarkEnd w:id="24"/>
    <w:bookmarkStart w:name="z38" w:id="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5"/>
    <w:bookmarkStart w:name="z39" w:id="26"/>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 указанных в перечне основных требований к оказанию государственной услуги "Выдача сведений о совершении лицом коррупционного преступления"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7"/>
    <w:bookmarkStart w:name="z42" w:id="28"/>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44" w:id="29"/>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9"/>
    <w:bookmarkStart w:name="z45"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6" w:id="31"/>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31"/>
    <w:bookmarkStart w:name="z47" w:id="32"/>
    <w:p>
      <w:pPr>
        <w:spacing w:after="0"/>
        <w:ind w:left="0"/>
        <w:jc w:val="both"/>
      </w:pPr>
      <w:r>
        <w:rPr>
          <w:rFonts w:ascii="Times New Roman"/>
          <w:b w:val="false"/>
          <w:i w:val="false"/>
          <w:color w:val="000000"/>
          <w:sz w:val="28"/>
        </w:rPr>
        <w:t xml:space="preserve">
      3) направление настоящего приказа территориальным органам Комитета для исполнения. </w:t>
      </w:r>
    </w:p>
    <w:bookmarkEnd w:id="32"/>
    <w:bookmarkStart w:name="z48" w:id="3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33"/>
    <w:bookmarkStart w:name="z49" w:id="3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51"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bookmarkStart w:name="z54" w:id="3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о наличии либо отсутствии судимости"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Электронная (частично автоматизированная)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xml:space="preserve">
Выдача справки о наличии либо отсутствии судимости по форме, согласно </w:t>
            </w:r>
            <w:r>
              <w:rPr>
                <w:rFonts w:ascii="Times New Roman"/>
                <w:b w:val="false"/>
                <w:i w:val="false"/>
                <w:color w:val="000000"/>
                <w:sz w:val="20"/>
              </w:rPr>
              <w:t>приложениям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Правилам оказания государственной услуги "Выдача справки о наличии либо отсутствии судимости".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1) в Государственную корпорацию:</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выдаче справки о наличии либо отсутствии судимости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степень родства, при получении справки о наличии либо отсутствии судимости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3"/>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"Выдача справки о </w:t>
            </w:r>
            <w:r>
              <w:br/>
            </w:r>
            <w:r>
              <w:rPr>
                <w:rFonts w:ascii="Times New Roman"/>
                <w:b w:val="false"/>
                <w:i w:val="false"/>
                <w:color w:val="000000"/>
                <w:sz w:val="20"/>
              </w:rPr>
              <w:t xml:space="preserve">наличии либо отсутствии </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8" w:id="44"/>
      <w:r>
        <w:rPr>
          <w:rFonts w:ascii="Times New Roman"/>
          <w:b w:val="false"/>
          <w:i w:val="false"/>
          <w:color w:val="000000"/>
          <w:sz w:val="28"/>
        </w:rPr>
        <w:t>
                                           ______________________________</w:t>
      </w:r>
    </w:p>
    <w:bookmarkEnd w:id="44"/>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99" w:id="45"/>
    <w:p>
      <w:pPr>
        <w:spacing w:after="0"/>
        <w:ind w:left="0"/>
        <w:jc w:val="left"/>
      </w:pPr>
      <w:r>
        <w:rPr>
          <w:rFonts w:ascii="Times New Roman"/>
          <w:b/>
          <w:i w:val="false"/>
          <w:color w:val="000000"/>
        </w:rPr>
        <w:t xml:space="preserve"> Расписка об отказе в приеме документов на выдачу справки о наличии либо отсутствии судимости</w:t>
      </w:r>
    </w:p>
    <w:bookmarkEnd w:id="45"/>
    <w:p>
      <w:pPr>
        <w:spacing w:after="0"/>
        <w:ind w:left="0"/>
        <w:jc w:val="both"/>
      </w:pPr>
      <w:bookmarkStart w:name="z100" w:id="46"/>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bookmarkEnd w:id="46"/>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3</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"Апостилирование </w:t>
            </w:r>
            <w:r>
              <w:br/>
            </w:r>
            <w:r>
              <w:rPr>
                <w:rFonts w:ascii="Times New Roman"/>
                <w:b w:val="false"/>
                <w:i w:val="false"/>
                <w:color w:val="000000"/>
                <w:sz w:val="20"/>
              </w:rPr>
              <w:t xml:space="preserve">официальных документов, </w:t>
            </w:r>
            <w:r>
              <w:br/>
            </w:r>
            <w:r>
              <w:rPr>
                <w:rFonts w:ascii="Times New Roman"/>
                <w:b w:val="false"/>
                <w:i w:val="false"/>
                <w:color w:val="000000"/>
                <w:sz w:val="20"/>
              </w:rPr>
              <w:t xml:space="preserve">исходящих из органов </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bl>
    <w:bookmarkStart w:name="z103" w:id="47"/>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8"/>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Электронная (частично автоматизированная)</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1"/>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2"/>
          <w:p>
            <w:pPr>
              <w:spacing w:after="20"/>
              <w:ind w:left="20"/>
              <w:jc w:val="both"/>
            </w:pPr>
            <w:r>
              <w:rPr>
                <w:rFonts w:ascii="Times New Roman"/>
                <w:b w:val="false"/>
                <w:i w:val="false"/>
                <w:color w:val="000000"/>
                <w:sz w:val="20"/>
              </w:rPr>
              <w:t>
Государственная услуга оказывается физическим лицам на платной основе.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в размере 0,5 месячного расчетного показателя за каждый документ.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осуществляется через платежный шлюз "электронного правительства" (ПШЭП) или банки второго уровня.</w:t>
            </w:r>
          </w:p>
          <w:p>
            <w:pPr>
              <w:spacing w:after="20"/>
              <w:ind w:left="20"/>
              <w:jc w:val="both"/>
            </w:pPr>
            <w:r>
              <w:rPr>
                <w:rFonts w:ascii="Times New Roman"/>
                <w:b w:val="false"/>
                <w:i w:val="false"/>
                <w:color w:val="000000"/>
                <w:sz w:val="20"/>
              </w:rPr>
              <w:t>
Реквизиты оплаты за апостилирование документов: Управление государственных доходов по Алматинскому району города Нур-Султана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3"/>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4"/>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об оплате государственной пошлины.</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5"/>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"Апостилирование </w:t>
            </w:r>
            <w:r>
              <w:br/>
            </w:r>
            <w:r>
              <w:rPr>
                <w:rFonts w:ascii="Times New Roman"/>
                <w:b w:val="false"/>
                <w:i w:val="false"/>
                <w:color w:val="000000"/>
                <w:sz w:val="20"/>
              </w:rPr>
              <w:t xml:space="preserve">официальных документов, </w:t>
            </w:r>
            <w:r>
              <w:br/>
            </w:r>
            <w:r>
              <w:rPr>
                <w:rFonts w:ascii="Times New Roman"/>
                <w:b w:val="false"/>
                <w:i w:val="false"/>
                <w:color w:val="000000"/>
                <w:sz w:val="20"/>
              </w:rPr>
              <w:t xml:space="preserve">исходящих из органов </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8" w:id="57"/>
      <w:r>
        <w:rPr>
          <w:rFonts w:ascii="Times New Roman"/>
          <w:b w:val="false"/>
          <w:i w:val="false"/>
          <w:color w:val="000000"/>
          <w:sz w:val="28"/>
        </w:rPr>
        <w:t>
                                           _____________________________</w:t>
      </w:r>
    </w:p>
    <w:bookmarkEnd w:id="57"/>
    <w:p>
      <w:pPr>
        <w:spacing w:after="0"/>
        <w:ind w:left="0"/>
        <w:jc w:val="both"/>
      </w:pPr>
      <w:r>
        <w:rPr>
          <w:rFonts w:ascii="Times New Roman"/>
          <w:b w:val="false"/>
          <w:i w:val="false"/>
          <w:color w:val="000000"/>
          <w:sz w:val="28"/>
        </w:rPr>
        <w:t xml:space="preserve">                                           (фамилия, имя, отчество</w:t>
      </w:r>
    </w:p>
    <w:p>
      <w:pPr>
        <w:spacing w:after="0"/>
        <w:ind w:left="0"/>
        <w:jc w:val="both"/>
      </w:pPr>
      <w:bookmarkStart w:name="z139" w:id="58"/>
      <w:r>
        <w:rPr>
          <w:rFonts w:ascii="Times New Roman"/>
          <w:b w:val="false"/>
          <w:i w:val="false"/>
          <w:color w:val="000000"/>
          <w:sz w:val="28"/>
        </w:rPr>
        <w:t>
                                           (при его наличии)) либо наименование</w:t>
      </w:r>
    </w:p>
    <w:bookmarkEnd w:id="58"/>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40" w:id="59"/>
    <w:p>
      <w:pPr>
        <w:spacing w:after="0"/>
        <w:ind w:left="0"/>
        <w:jc w:val="left"/>
      </w:pPr>
      <w:r>
        <w:rPr>
          <w:rFonts w:ascii="Times New Roman"/>
          <w:b/>
          <w:i w:val="false"/>
          <w:color w:val="000000"/>
        </w:rPr>
        <w:t xml:space="preserve"> Расписка об отказе в приеме документов на апостилирование официальных документов, исходящих из органов прокуратуры, органов следствия и дознания</w:t>
      </w:r>
    </w:p>
    <w:bookmarkEnd w:id="59"/>
    <w:p>
      <w:pPr>
        <w:spacing w:after="0"/>
        <w:ind w:left="0"/>
        <w:jc w:val="both"/>
      </w:pPr>
      <w:bookmarkStart w:name="z141" w:id="6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bookmarkEnd w:id="60"/>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w:t>
      </w:r>
    </w:p>
    <w:p>
      <w:pPr>
        <w:spacing w:after="0"/>
        <w:ind w:left="0"/>
        <w:jc w:val="both"/>
      </w:pPr>
      <w:r>
        <w:rPr>
          <w:rFonts w:ascii="Times New Roman"/>
          <w:b w:val="false"/>
          <w:i w:val="false"/>
          <w:color w:val="000000"/>
          <w:sz w:val="28"/>
        </w:rPr>
        <w:t xml:space="preserve">       услугополучателя______________________</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61"/>
    <w:p>
      <w:pPr>
        <w:spacing w:after="0"/>
        <w:ind w:left="0"/>
        <w:jc w:val="left"/>
      </w:pPr>
      <w:r>
        <w:rPr>
          <w:rFonts w:ascii="Times New Roman"/>
          <w:b/>
          <w:i w:val="false"/>
          <w:color w:val="000000"/>
        </w:rPr>
        <w:t xml:space="preserve"> Книга учета апостилированных документов</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құжаттың түскен күні / 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құжаттың жіберілген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ЖСН-ы / ИИН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Т.А.Ә. (болған 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архивтік анықтама (органның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туралы анықтама және апостилі 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тергеу және анықтау 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апостиль қойылған құжат/ Всего 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 xml:space="preserve">Комитета по правовой </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 xml:space="preserve">прокуратуры Республики </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p>
        </w:tc>
      </w:tr>
    </w:tbl>
    <w:bookmarkStart w:name="z148" w:id="6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3"/>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4"/>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- 8 (восемь) рабочих дней;</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5"/>
          <w:p>
            <w:pPr>
              <w:spacing w:after="20"/>
              <w:ind w:left="20"/>
              <w:jc w:val="both"/>
            </w:pPr>
            <w:r>
              <w:rPr>
                <w:rFonts w:ascii="Times New Roman"/>
                <w:b w:val="false"/>
                <w:i w:val="false"/>
                <w:color w:val="000000"/>
                <w:sz w:val="20"/>
              </w:rPr>
              <w:t>
Электронная (частично автоматизированная)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6"/>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7"/>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8"/>
          <w:p>
            <w:pPr>
              <w:spacing w:after="20"/>
              <w:ind w:left="20"/>
              <w:jc w:val="both"/>
            </w:pPr>
            <w:r>
              <w:rPr>
                <w:rFonts w:ascii="Times New Roman"/>
                <w:b w:val="false"/>
                <w:i w:val="false"/>
                <w:color w:val="000000"/>
                <w:sz w:val="20"/>
              </w:rPr>
              <w:t>
1) в Государственную корпорацию:</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выдаче архивных справок и (или) копий архивных документов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9"/>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0"/>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"Выдача архивных </w:t>
            </w:r>
            <w:r>
              <w:br/>
            </w:r>
            <w:r>
              <w:rPr>
                <w:rFonts w:ascii="Times New Roman"/>
                <w:b w:val="false"/>
                <w:i w:val="false"/>
                <w:color w:val="000000"/>
                <w:sz w:val="20"/>
              </w:rPr>
              <w:t xml:space="preserve">справок и/или копий архивных </w:t>
            </w:r>
            <w:r>
              <w:br/>
            </w:r>
            <w:r>
              <w:rPr>
                <w:rFonts w:ascii="Times New Roman"/>
                <w:b w:val="false"/>
                <w:i w:val="false"/>
                <w:color w:val="000000"/>
                <w:sz w:val="20"/>
              </w:rPr>
              <w:t xml:space="preserve">документов в пределах архивов </w:t>
            </w:r>
            <w:r>
              <w:br/>
            </w:r>
            <w:r>
              <w:rPr>
                <w:rFonts w:ascii="Times New Roman"/>
                <w:b w:val="false"/>
                <w:i w:val="false"/>
                <w:color w:val="000000"/>
                <w:sz w:val="20"/>
              </w:rPr>
              <w:t xml:space="preserve">Комитета по правовой </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 xml:space="preserve">прокуратуры Республики </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 w:id="71"/>
      <w:r>
        <w:rPr>
          <w:rFonts w:ascii="Times New Roman"/>
          <w:b w:val="false"/>
          <w:i w:val="false"/>
          <w:color w:val="000000"/>
          <w:sz w:val="28"/>
        </w:rPr>
        <w:t>
                                           ____________________________</w:t>
      </w:r>
    </w:p>
    <w:bookmarkEnd w:id="71"/>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86" w:id="72"/>
    <w:p>
      <w:pPr>
        <w:spacing w:after="0"/>
        <w:ind w:left="0"/>
        <w:jc w:val="left"/>
      </w:pPr>
      <w:r>
        <w:rPr>
          <w:rFonts w:ascii="Times New Roman"/>
          <w:b/>
          <w:i w:val="false"/>
          <w:color w:val="000000"/>
        </w:rPr>
        <w:t xml:space="preserve"> Расписка об отказе в приеме документов на выдачу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72"/>
    <w:p>
      <w:pPr>
        <w:spacing w:after="0"/>
        <w:ind w:left="0"/>
        <w:jc w:val="both"/>
      </w:pPr>
      <w:bookmarkStart w:name="z187" w:id="7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bookmarkEnd w:id="73"/>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сведений о</w:t>
            </w:r>
            <w:r>
              <w:br/>
            </w:r>
            <w:r>
              <w:rPr>
                <w:rFonts w:ascii="Times New Roman"/>
                <w:b w:val="false"/>
                <w:i w:val="false"/>
                <w:color w:val="000000"/>
                <w:sz w:val="20"/>
              </w:rPr>
              <w:t>совершении лицом</w:t>
            </w:r>
            <w:r>
              <w:br/>
            </w:r>
            <w:r>
              <w:rPr>
                <w:rFonts w:ascii="Times New Roman"/>
                <w:b w:val="false"/>
                <w:i w:val="false"/>
                <w:color w:val="000000"/>
                <w:sz w:val="20"/>
              </w:rPr>
              <w:t>коррупционного преступления"</w:t>
            </w:r>
          </w:p>
        </w:tc>
      </w:tr>
    </w:tbl>
    <w:bookmarkStart w:name="z190" w:id="7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сведений о совершении лицом коррупционного преступления"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5"/>
          <w:p>
            <w:pPr>
              <w:spacing w:after="20"/>
              <w:ind w:left="20"/>
              <w:jc w:val="both"/>
            </w:pPr>
            <w:r>
              <w:rPr>
                <w:rFonts w:ascii="Times New Roman"/>
                <w:b w:val="false"/>
                <w:i w:val="false"/>
                <w:color w:val="000000"/>
                <w:sz w:val="20"/>
              </w:rPr>
              <w:t>
С момента обращения на портал - 10 (десять) минут;</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подачи запроса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3 (трех)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6"/>
          <w:p>
            <w:pPr>
              <w:spacing w:after="20"/>
              <w:ind w:left="20"/>
              <w:jc w:val="both"/>
            </w:pPr>
            <w:r>
              <w:rPr>
                <w:rFonts w:ascii="Times New Roman"/>
                <w:b w:val="false"/>
                <w:i w:val="false"/>
                <w:color w:val="000000"/>
                <w:sz w:val="20"/>
              </w:rPr>
              <w:t xml:space="preserve">
Выдача сведений о совершении лицом коррупционного преступления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"Выдача сведений о совершении лицом коррупционного преступления".</w:t>
            </w:r>
          </w:p>
          <w:bookmarkEnd w:id="76"/>
          <w:p>
            <w:pPr>
              <w:spacing w:after="20"/>
              <w:ind w:left="20"/>
              <w:jc w:val="both"/>
            </w:pPr>
            <w:r>
              <w:rPr>
                <w:rFonts w:ascii="Times New Roman"/>
                <w:b w:val="false"/>
                <w:i w:val="false"/>
                <w:color w:val="000000"/>
                <w:sz w:val="20"/>
              </w:rPr>
              <w:t xml:space="preserve">
Уведомление со сведениями о наличии уголовного дела, возбужденного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7"/>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запросов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8"/>
          <w:p>
            <w:pPr>
              <w:spacing w:after="20"/>
              <w:ind w:left="20"/>
              <w:jc w:val="both"/>
            </w:pPr>
            <w:r>
              <w:rPr>
                <w:rFonts w:ascii="Times New Roman"/>
                <w:b w:val="false"/>
                <w:i w:val="false"/>
                <w:color w:val="000000"/>
                <w:sz w:val="20"/>
              </w:rPr>
              <w:t>
На портале 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8"/>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9"/>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 Услугополучатель имеет возможность получения государственной услуги в электронной форме через портал при условии наличия ЭЦП.</w:t>
            </w:r>
          </w:p>
          <w:bookmarkEnd w:id="79"/>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