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640e" w14:textId="87e6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экономического эффекта от бюджетных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26 сентября 2022 года № 632. Зарегистрирован в Министерстве юстиции Республики Казахстан 30 сентября 2022 года № 29945. Утратил силу приказом и.о. Министра экологии и природных ресурсов Республики Казахстан от 11 июня 2025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 и природных ресурсов РК от 11.06.2025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течении десяти календарных дней с момента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67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экономического эффекта от бюджетных субсидий.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 № 632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экономического эффекта от бюджетных субсидий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экономического эффекта от бюджетных субсидий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67 Бюджетного кодекса Республики Казахстан и определяют порядок определения экономического эффекта от бюджетных субсидий в сфере лесного хозяйства.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ведомство уполномоченного органа в области лесного хозяйства;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развитие частных лесных питомников – цикл производства работ по созданию и развитию лесных питомников, включающий проектно-изыскательские и строительно-монтажные работы, выращивание древесных и кустарниковых пород для озеленения, воспроизводства лесов и лесоразведения;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закладка и выращивание плантаций быстрорастущих древесных и кустарниковых пород – цикл производства древесины древесных и кустарниковых растений от проектно-изыскательских работ до заготовки древесины.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экономического эффекта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экономического эффекта от бюджетных субсидий в сфере лесного хозяйства проводится ежегодно, не позднее 25 февраля года, следующего за отчетным уполномоченным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мониторинг, анализ и сопоставление данных, полученных уполномоченным органом из официальных источников, в том числе от местных исполнительных органов областей, городов республиканского значения и столицы в области лесного хозяйства;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экономическую эффективность от возмещения расходов;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подготавливают заключение об итогах определения экономического эффекта по каждому направлению возмещения расходов.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Экономический эффект от бюджетных субсидий определяется согласно коэффициенту эффективности по следующим направлениям: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плантационное выращивание быстрорастущих древесных и кустарниковых пород в промышленных и энергетических целях;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лесных питомников.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Возмещение расходов на закладку и выращивание плантаций быстрорастущих древесных и кустарниковых пород признается эффективным, если коэффициент эффективности равен (=1) или превышает (&gt;1) количество выращенных древесных и кустарниковых пород, который рассчитывается по следующей формуле: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 эффектная форма (далее – Кэф) = КВДКП текущего года/ КВДКП предыдущего года,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– коэффициент эффективности;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КВДКП текущего года – количество выращенных древесных и кустарниковых пород за текущий период;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КВДКП предыдущего года – количество выращенных древесных и кустарниковых пород за предыдущий период.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Возмещение расходов на создание и развитие лесных питомников признается эффективным, если коэффициент эффективности равен (=1) или превышает (&gt;1) количество выращенных саженцев древесных и кустарниковых пород, который рассчитывается по следующей формуле: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= ОИОКтек.года/ОИОКпред.года,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– коэффициент эффективности;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КВСДКП текущего года – количество выращенных саженцев древесных и кустарниковых пород за текущий период;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КВСДКП предыдущего года – количество выращенных саженцев древесных и кустарниковых пород за предыдущий период.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Возмещение расходов на закладку и выращивание плантаций быстрорастущих древесных и кустарниковых пород, создание и развитие лесных питомников признается если коэффициент эффективности равен (=1) или превышает (&gt;1) по показателю "Количество субъектов, охваченных возмещением расходов", который рассчитывается по следующей формуле: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= КСОВ текущего года/КСОВ предыдущего года,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– коэффициент эффективности;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КСОВ текущего года – количество субъектов, охваченных возмещением за текущий период;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КСОВ предыдущего года – количество субъектов, охваченных возмещением за предыдущий период.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Экономический эффект от возмещения расходов на закладку и выращивание плантаций быстрорастущих древесных и кустарниковых пород, создание и развитие лесных питомников является отрицательным в случае, если коэффициент эффективности ниже (&lt;1) и положительным в случае, если коэффициент эффективности равен (=1) или превышает (&gt;1) значения.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коэффициент эффективности ниже (&lt;1), уполномоченный орган на основании данных местных исполнительных органов направляет в Министерство финансов Республики Казахстан обоснования причин снижения количества выращенных саженцев и древесных и кустарниковых пород за отчетный период с подтверждающими документами (информация о состоянии погодных условий (осадки, засуха), загрязнении окружающей среды, неблагополучии экологической обстановки, чрезвычайная ситуация и стихийные бедствия, правонарушения из соответствующих государственных органов).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причин снижения количества выращенных саженцев и древесных и кустарниковых пород, возмещения расходов на закладку и выращивание плантаций быстрорастущих древесных и кустарниковых пород, создание и развитие лесных питомников будут являться эффективными.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