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5717" w14:textId="a5c5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7 сентября 2022 года № ҚР ДСМ - 95. Зарегистрирован в Министерстве юстиции Республики Казахстан 8 сентября 2022 года № 29474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124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специализированной, в том числе высокотехнологичной медицинской помощи,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специализированной, в том числе высокотехнологичной медицинской помощи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124 Кодекса Республики Казахстан "О здоровье народа и системе здравоохранения" (далее – Кодекс) и определяют порядок оказания специализированной, в том числе высокотехнологичной медицинской помощи в Республике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"19. Руководство организации здравоохранения, самостоятельно принимает решение о плановой госпитализации при наличии медицинских показаний лиц из социально-незащищенных групп населения: дети до 18 лет, беременные, ветераны Великой Отечественной войны, лица с инвалидностью, многодетные матери, пенсионеры, больные социально-значимыми заболеваниями в пределах 15 % от объема плановой госпитализации для научных организаций, 10 % для организаций здравоохранения районного, городского, областного уровней независимо от формы собственности.";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"23. Для получения заключения организация здравоохранения подает заявку в территориальное подразделение государственного органа в сфере оказания медицинских услуг (помощи) (далее – Подразделение) в электронном виде в информационной системе управления ресурсами (далее – ИС "СУР")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приложение 1).</w:t>
      </w:r>
    </w:p>
    <w:bookmarkEnd w:id="6"/>
    <w:bookmarkStart w:name="z15" w:id="7"/>
    <w:p>
      <w:pPr>
        <w:spacing w:after="0"/>
        <w:ind w:left="0"/>
        <w:jc w:val="both"/>
      </w:pPr>
      <w:r>
        <w:rPr>
          <w:rFonts w:ascii="Times New Roman"/>
          <w:b w:val="false"/>
          <w:i w:val="false"/>
          <w:color w:val="000000"/>
          <w:sz w:val="28"/>
        </w:rPr>
        <w:t xml:space="preserve">
      24. Организация здравоохранения, претендующая на предоставление ВТМП, в заявке указывает сведения о соответствии критериям к оказанию заявляемого вида ВТМП (далее – критерии)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16" w:id="8"/>
    <w:p>
      <w:pPr>
        <w:spacing w:after="0"/>
        <w:ind w:left="0"/>
        <w:jc w:val="both"/>
      </w:pPr>
      <w:r>
        <w:rPr>
          <w:rFonts w:ascii="Times New Roman"/>
          <w:b w:val="false"/>
          <w:i w:val="false"/>
          <w:color w:val="000000"/>
          <w:sz w:val="28"/>
        </w:rPr>
        <w:t xml:space="preserve">
      25. Подразделение проводит оценку соответствия организации здравоохранения критериям в течение 30 календарных дней со дня получения заявки. </w:t>
      </w:r>
    </w:p>
    <w:bookmarkEnd w:id="8"/>
    <w:bookmarkStart w:name="z17" w:id="9"/>
    <w:p>
      <w:pPr>
        <w:spacing w:after="0"/>
        <w:ind w:left="0"/>
        <w:jc w:val="both"/>
      </w:pPr>
      <w:r>
        <w:rPr>
          <w:rFonts w:ascii="Times New Roman"/>
          <w:b w:val="false"/>
          <w:i w:val="false"/>
          <w:color w:val="000000"/>
          <w:sz w:val="28"/>
        </w:rPr>
        <w:t xml:space="preserve">
      В случае соответствия организации здравоохранения критериям Подразделение выдает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3 (три) года.</w:t>
      </w:r>
    </w:p>
    <w:bookmarkEnd w:id="9"/>
    <w:bookmarkStart w:name="z18" w:id="10"/>
    <w:p>
      <w:pPr>
        <w:spacing w:after="0"/>
        <w:ind w:left="0"/>
        <w:jc w:val="both"/>
      </w:pPr>
      <w:r>
        <w:rPr>
          <w:rFonts w:ascii="Times New Roman"/>
          <w:b w:val="false"/>
          <w:i w:val="false"/>
          <w:color w:val="000000"/>
          <w:sz w:val="28"/>
        </w:rPr>
        <w:t>
      Не позднее 2 (двух) месяцев до истечения срока действия организация здравоохранения подает заявку на получение нового заключения.</w:t>
      </w:r>
    </w:p>
    <w:bookmarkEnd w:id="10"/>
    <w:bookmarkStart w:name="z19" w:id="11"/>
    <w:p>
      <w:pPr>
        <w:spacing w:after="0"/>
        <w:ind w:left="0"/>
        <w:jc w:val="both"/>
      </w:pPr>
      <w:r>
        <w:rPr>
          <w:rFonts w:ascii="Times New Roman"/>
          <w:b w:val="false"/>
          <w:i w:val="false"/>
          <w:color w:val="000000"/>
          <w:sz w:val="28"/>
        </w:rPr>
        <w:t>
      26. Полученные в соответствии с настоящими Правилами заключения переоформляются на организации здравоохранения, планирующие и (или) осуществляющие деятельность с сохранением производственной базы и профиля деятельности в случаях: реорганизации, изменения организационно-правовой формы, смены юридического лица, передачи объекта в доверительное управление, подтвержденное уполномоченным органом или местными органами государственного управления здравоохранением.</w:t>
      </w:r>
    </w:p>
    <w:bookmarkEnd w:id="11"/>
    <w:bookmarkStart w:name="z20" w:id="12"/>
    <w:p>
      <w:pPr>
        <w:spacing w:after="0"/>
        <w:ind w:left="0"/>
        <w:jc w:val="both"/>
      </w:pPr>
      <w:r>
        <w:rPr>
          <w:rFonts w:ascii="Times New Roman"/>
          <w:b w:val="false"/>
          <w:i w:val="false"/>
          <w:color w:val="000000"/>
          <w:sz w:val="28"/>
        </w:rPr>
        <w:t>
      27. Сведения о заключении вносятся в ИС "СУР". Заключение выдается за подписью первого руководителя Подразделения и (или) лица, исполняющего его обязанности.</w:t>
      </w:r>
    </w:p>
    <w:bookmarkEnd w:id="12"/>
    <w:bookmarkStart w:name="z21" w:id="13"/>
    <w:p>
      <w:pPr>
        <w:spacing w:after="0"/>
        <w:ind w:left="0"/>
        <w:jc w:val="both"/>
      </w:pPr>
      <w:r>
        <w:rPr>
          <w:rFonts w:ascii="Times New Roman"/>
          <w:b w:val="false"/>
          <w:i w:val="false"/>
          <w:color w:val="000000"/>
          <w:sz w:val="28"/>
        </w:rPr>
        <w:t>
      28. Организация здравоохранения, получившая заключение, направляет копию заключения в ФСМС и (или) его территориальный филиал.";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"30. В случае изменения кода или наименования ВТМП Подразделение на основании заявки организации здравоохранения, претендующей на предоставление ВТМП, при соответствии критериям переоформляет заключение в соответствии с новым кодом или наименованием в течение 30 календарных дней с момента поступления заявки.";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5" w:id="15"/>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15"/>
    <w:bookmarkStart w:name="z26"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7"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7"/>
    <w:bookmarkStart w:name="z28"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8"/>
    <w:bookmarkStart w:name="z29"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9"/>
    <w:bookmarkStart w:name="z30"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2022 года</w:t>
            </w:r>
            <w:r>
              <w:br/>
            </w:r>
            <w:r>
              <w:rPr>
                <w:rFonts w:ascii="Times New Roman"/>
                <w:b w:val="false"/>
                <w:i w:val="false"/>
                <w:color w:val="000000"/>
                <w:sz w:val="20"/>
              </w:rPr>
              <w:t>№ ҚР ДСМ-95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w:t>
            </w:r>
            <w:r>
              <w:br/>
            </w:r>
            <w:r>
              <w:rPr>
                <w:rFonts w:ascii="Times New Roman"/>
                <w:b w:val="false"/>
                <w:i w:val="false"/>
                <w:color w:val="000000"/>
                <w:sz w:val="20"/>
              </w:rPr>
              <w:t>в том числе</w:t>
            </w:r>
            <w:r>
              <w:br/>
            </w:r>
            <w:r>
              <w:rPr>
                <w:rFonts w:ascii="Times New Roman"/>
                <w:b w:val="false"/>
                <w:i w:val="false"/>
                <w:color w:val="000000"/>
                <w:sz w:val="20"/>
              </w:rPr>
              <w:t>высокотехнологичной</w:t>
            </w:r>
            <w:r>
              <w:br/>
            </w:r>
            <w:r>
              <w:rPr>
                <w:rFonts w:ascii="Times New Roman"/>
                <w:b w:val="false"/>
                <w:i w:val="false"/>
                <w:color w:val="000000"/>
                <w:sz w:val="20"/>
              </w:rPr>
              <w:t>медицинской помощи</w:t>
            </w:r>
          </w:p>
        </w:tc>
      </w:tr>
    </w:tbl>
    <w:bookmarkStart w:name="z34" w:id="21"/>
    <w:p>
      <w:pPr>
        <w:spacing w:after="0"/>
        <w:ind w:left="0"/>
        <w:jc w:val="left"/>
      </w:pPr>
      <w:r>
        <w:rPr>
          <w:rFonts w:ascii="Times New Roman"/>
          <w:b/>
          <w:i w:val="false"/>
          <w:color w:val="000000"/>
        </w:rPr>
        <w:t xml:space="preserve"> Критерии к организациям здравоохранения, оказывающим высокотехнологичную медицинскую помощь</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 ВТМП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медицинским изделиям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набор инструментов микрохирургический – 2, набор инструментов сосудистый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 – дыхательный аппарат. Аппарат мобильный рентгеновский хирургический с С-дугой. Электротрепан с набором для спинальной нейрохирурии. Магнитно-резонансный томограф. Нейрохирургический операционный стол с аксессуарами для нейрохирургии. Компьютерный томограф. Набор нейрохирургических инструментов для спинальной нейрохирургии.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имплантируемой вспомогательной сердечной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афферентной гемокоррекции. Аппарат для подачи монооксида азота.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 – 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посмертного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-1, моно- и биполярный электрокоагулятор - 2,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рентгенологический аппарат С-дуга -1, гармонический ультразвуковой скальпель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2,аппарат ультразвуковой с доплером –- не менее 2, компьютерный томограф – 1, ангиограф -1, моно- и биполярный электрокоагулятор - 2,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гармонический ультразвуковой скальпель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(по договору на оказание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высокотехнологичных методик лучевой 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линейными (циклическими) ускорителями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Томотерапевтическая система для лучевой терапии, с возможностью лечения в спиральном режиме и при фиксированных углах гентри, оснащенная неподвижным кольцевым гентри-порталом, 6 мегавольтным моноэнергетическим линейным ускорителем, системой первичной коллимации, бинарным мультилепестковым коллиматором, подачей веерного пучка излучения, системой визуализации с детекторной системой мегавольтной компьютерной томографии высокого разрешения, дозиметрической системой планирования, панелями контроля позиционирования, системой позиционирования лазера, процедурной кушеткой с высокими характеристиками. Встроенная, полностью интегрированная система планирования и лечения. Набор иммобилизирующих приспособлений, насос для вакуумных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 Наркозно-дыхательный аппарат. Магнитно-резонансный томограф.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функциональной нейрохирургии и биопсии.Наркозно-дыхательный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Нейрохирургический операционный стол с аксессуарами для нейрохирургии. Компьютерный томограф.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дефибрилятор. Внутриаортальный балонный контрпульсатор. Эхокардиография с датчиком частоты пульса.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трехстворчатого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Генератор радиочастотной абляции.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аневризмы сердца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ЭХОКГ с внутрисердечной и/или чрезпищеводным датчиком.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опыт имплантации электрокардиостимулятора не менее 30,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"Нейрохирургия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 Наркозно-дыхательный аппарат. Операционный микроскоп. Операционный стол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 Наркозно-дыхательный аппарат. Магнитно-резонансный томограф.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 Ангиографическая установка с системой гемодинамики. Аппарат для реинфузии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 – 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Процедурная должна быть оснащена ламинарным шкафом для разведения цитостатиков.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 микробиологические исследования, HLA типирование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с отдельным круглосуточным постом. Палаты должны быть оснащены инфузоматами не менее 2 на 1 койку, минимум 2 аппарата искусственной вентиляции легких, монитор пациента, консоли с подведенными газами.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-2, дозатор лекарственных средств -4, электрокардиограф -1, аппарат искусственной вентиляции легких -2, бинокулярные лупы -2, набор инструментов микрохирургический – 2, набор инструментов сосудистый -2, рентгенологический аппарат С-дуга -1, гармонический ультразвуковой скальпель -2, стойка эндовидеохирургическая лапароскопическая -1, набор хирургического инструментария (ранорасширитель) – 2, монитор для наблюдения за пациентом -2, весы для определения массы тела пациента – 1, контейнер для транспортировки донорского органа – 1, аппарат для реинфузии крови -1, анализатор кислотно-щелочного состояния – 1, аспиратор ультразвуковой хирургический - 1.Моно- и биполярный электрокоагулятор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"Анхиохирургия (взрослая, детская)" либо наличие договора на оказание лечебных услуг по ангиохирургии.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Набор инструментов хирургический большой в комплекте. Наркозно-дыхательный аппарат. Высокочастотный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с приставкой для травматологии и ортопедии.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тазобедренного сустава, неуточненная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Электронно-оптический преобразователь или передвижной операционный о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рентгенустановка.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комбустиологии в объеме не менее 216 часов за последние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повышениеи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кардиохирургического профиля: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свидетельство о повышении квалификации по циклу "Экстракорпоральная мембранная оксигенация" 2. Для других профилей: наличие в штате специалиста, имеющего сертификат по специальности "Анестезиология и реаниматология (перфузиология, токсикология)", стаж работы по специальности не менее 5 лет, свидетельство о повышении квалификации по перфузиологии в объеме не менее 54 часа, свидетельство о повышении квалификации по циклу "Экстракорпоральная мембранная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Источники радиоактивного излучения -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или "Эндокринология" или "Лучевая терапия (радиационная онкология)", стаж работы по специальности не менее 3 лет, свидетельство о повышении квалификации по вопросам ядерной медицины, не менее 108 часов за последние 5 лет. Медицинский физик – специалист с высшим образованием по физике или высшим техническим образованием, прошедшего специализацию по дозиметрии, радиационной безопасности, ядерной физике, с опытом работы не менее 3 лет. Инженер-радиохимик – специалист с высшим образованием по химии, прошедшего специализацию по радиохимии, с опытом работы не менее 3 лет. Наличие специалиста со средним медицинским образованием имеющего сертификат по специальности "Сестринское дело", прошедшего специализацию по ядерной медицине (радионуклидной терапии), с опытом работы не менее 3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Однофотонный эмиссионный компьютерный томограф, совмещенный с компьютерным томографом. Система сбора и хранения жидких радиоактивных отходов. Набор для фасовки радиофармпрепарата. Стандартный набор дозиметрического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при раке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брахитерапии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аппаратом для брахитерапии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брахитерапии с источниками Ir-192 или Co-60 с высокой мощности с дополнительными принадлежностями (аппликаторы и катетеры).</w:t>
            </w:r>
          </w:p>
          <w:p>
            <w:pPr>
              <w:spacing w:after="20"/>
              <w:ind w:left="20"/>
              <w:jc w:val="both"/>
            </w:pPr>
            <w:r>
              <w:rPr>
                <w:rFonts w:ascii="Times New Roman"/>
                <w:b w:val="false"/>
                <w:i w:val="false"/>
                <w:color w:val="000000"/>
                <w:sz w:val="20"/>
              </w:rPr>
              <w:t>
Магнитно-резонансный томограф – 1, Компьютерный томограф -1</w:t>
            </w:r>
          </w:p>
          <w:p>
            <w:pPr>
              <w:spacing w:after="20"/>
              <w:ind w:left="20"/>
              <w:jc w:val="both"/>
            </w:pPr>
            <w:r>
              <w:rPr>
                <w:rFonts w:ascii="Times New Roman"/>
                <w:b w:val="false"/>
                <w:i w:val="false"/>
                <w:color w:val="000000"/>
                <w:sz w:val="20"/>
              </w:rPr>
              <w:t xml:space="preserve">
Стандартный набор дозиметрического оборудования. </w:t>
            </w:r>
          </w:p>
          <w:p>
            <w:pPr>
              <w:spacing w:after="20"/>
              <w:ind w:left="20"/>
              <w:jc w:val="both"/>
            </w:pPr>
            <w:r>
              <w:rPr>
                <w:rFonts w:ascii="Times New Roman"/>
                <w:b w:val="false"/>
                <w:i w:val="false"/>
                <w:color w:val="000000"/>
                <w:sz w:val="20"/>
              </w:rPr>
              <w:t>
Компьютеризированная программа планирования.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центральной нервной системы с применением аппарата Гамма-нож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"Нейрохирургия", стаж работы не менее 5 лет, сертификат о прохождении обучения работе на аппарате Leksell Gamma Knife в объеме не менее 108 часов.</w:t>
            </w:r>
          </w:p>
          <w:p>
            <w:pPr>
              <w:spacing w:after="20"/>
              <w:ind w:left="20"/>
              <w:jc w:val="both"/>
            </w:pPr>
            <w:r>
              <w:rPr>
                <w:rFonts w:ascii="Times New Roman"/>
                <w:b w:val="false"/>
                <w:i w:val="false"/>
                <w:color w:val="000000"/>
                <w:sz w:val="20"/>
              </w:rPr>
              <w:t>
Наличие в штате не менее двух специалистов с высшим образованием по ядерной физике или медицинской физике со стажем работы по специальности не менее 3 лет, имеющего опыт работы с источниками ионизирующего излучения не менее 2 лет, сертификат о прохождении обучения работе на аппарате Leksell Gamma Knife в объеме не менее 108 часов. Наличие в штате онколога либо сертификат одного из специалистов о прохождении переподготовки по медицинской специальности "Лучевая терапия" (радиационная онкология). Наличие у всех штатных специалистов сертификата о прохождении обучения работе с источниками ионизирующего излучения в объеме 54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Гамма-нож Leksell Gamma Knife: Блок облучения; Набор радиоактивных источников – 192шт. кобальт-60 60Co; Система позиционирования пациент; Система компьютерного планирования Leksell GammaPlan для оконтуривания опухоли, расчета и подвода оптимальной дозы при радиохирургическом лечении, Стереотаксическая рамка для жесткой фиксации.</w:t>
            </w:r>
          </w:p>
          <w:p>
            <w:pPr>
              <w:spacing w:after="20"/>
              <w:ind w:left="20"/>
              <w:jc w:val="both"/>
            </w:pPr>
            <w:r>
              <w:rPr>
                <w:rFonts w:ascii="Times New Roman"/>
                <w:b w:val="false"/>
                <w:i w:val="false"/>
                <w:color w:val="000000"/>
                <w:sz w:val="20"/>
              </w:rPr>
              <w:t>
Магнитно-резонансный томограф – 1, Компьютерный томограф – 1, Ангиограф -1.</w:t>
            </w:r>
          </w:p>
        </w:tc>
      </w:tr>
    </w:tbl>
    <w:p>
      <w:pPr>
        <w:spacing w:after="0"/>
        <w:ind w:left="0"/>
        <w:jc w:val="both"/>
      </w:pPr>
      <w:bookmarkStart w:name="z40" w:id="22"/>
      <w:r>
        <w:rPr>
          <w:rFonts w:ascii="Times New Roman"/>
          <w:b w:val="false"/>
          <w:i w:val="false"/>
          <w:color w:val="000000"/>
          <w:sz w:val="28"/>
        </w:rPr>
        <w:t>
      Примечание:</w:t>
      </w:r>
    </w:p>
    <w:bookmarkEnd w:id="22"/>
    <w:p>
      <w:pPr>
        <w:spacing w:after="0"/>
        <w:ind w:left="0"/>
        <w:jc w:val="both"/>
      </w:pPr>
      <w:r>
        <w:rPr>
          <w:rFonts w:ascii="Times New Roman"/>
          <w:b w:val="false"/>
          <w:i w:val="false"/>
          <w:color w:val="000000"/>
          <w:sz w:val="28"/>
        </w:rPr>
        <w:t>*Дополнительные описания к организациям здравоохранения, оказывающим услуги искусственного оплодотворения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1. продолжительность работы организации здравоохранения в области искусственного оплодотворения не менее трех лет;</w:t>
      </w:r>
    </w:p>
    <w:p>
      <w:pPr>
        <w:spacing w:after="0"/>
        <w:ind w:left="0"/>
        <w:jc w:val="both"/>
      </w:pPr>
      <w:r>
        <w:rPr>
          <w:rFonts w:ascii="Times New Roman"/>
          <w:b w:val="false"/>
          <w:i w:val="false"/>
          <w:color w:val="000000"/>
          <w:sz w:val="28"/>
        </w:rPr>
        <w:t>2. количество лечебных циклов искусственного оплодотворения не менее 300 циклов в год;</w:t>
      </w:r>
    </w:p>
    <w:p>
      <w:pPr>
        <w:spacing w:after="0"/>
        <w:ind w:left="0"/>
        <w:jc w:val="both"/>
      </w:pPr>
      <w:r>
        <w:rPr>
          <w:rFonts w:ascii="Times New Roman"/>
          <w:b w:val="false"/>
          <w:i w:val="false"/>
          <w:color w:val="000000"/>
          <w:sz w:val="28"/>
        </w:rPr>
        <w:t>3. частота наступления беременности на перенос эмбрионов – не менее 33 %;</w:t>
      </w:r>
    </w:p>
    <w:p>
      <w:pPr>
        <w:spacing w:after="0"/>
        <w:ind w:left="0"/>
        <w:jc w:val="both"/>
      </w:pPr>
      <w:r>
        <w:rPr>
          <w:rFonts w:ascii="Times New Roman"/>
          <w:b w:val="false"/>
          <w:i w:val="false"/>
          <w:color w:val="000000"/>
          <w:sz w:val="28"/>
        </w:rPr>
        <w:t>4. частота рождения детей на число переносов - не менее 25 %.</w:t>
      </w:r>
    </w:p>
    <w:p>
      <w:pPr>
        <w:spacing w:after="0"/>
        <w:ind w:left="0"/>
        <w:jc w:val="both"/>
      </w:pPr>
      <w:r>
        <w:rPr>
          <w:rFonts w:ascii="Times New Roman"/>
          <w:b w:val="false"/>
          <w:i w:val="false"/>
          <w:color w:val="000000"/>
          <w:sz w:val="28"/>
        </w:rPr>
        <w:t>** Проведение до - и после кохлеарной реабилитации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