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3d5a" w14:textId="18a3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ноября 2018 года № 300 "Об установлении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портфелем, а также утверждении Правил одобрения плана мероприятий, предусматривающего меры раннего реагирования, и Методики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22 августа 2022 года № 53. Зарегистрировано в Министерстве юстиции Республики Казахстан 27 августа 2022 года № 29322.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300 "Об установлении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портфелем, а также утверждении Правил одобрения плана мероприятий, предусматривающего меры раннего реагирования, и Методики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портфелем" (зарегистрировано в Реестре государственной регистрации нормативных правовых актов под № 18198)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одобрения плана мероприятий, предусматривающего меры раннего реагирования, утвержденных настоящим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выявлении факторов, влияющих на ухудшение финансового положения организации, представление плана мероприятий не требуется: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исполнения организацией требований, предъявленных уполномоченным органом в рамках примененных мер по улучшению финансового состояния и (или) минимизации рисков организации в связи с нарушением пруденциальных нормативов;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приостановления действия лицензии на осуществление деятельности на рынке ценных бумаг;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добровольной реорганизации;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добровольном обращении организации в уполномоченный орган о прекращении действия лицензии на осуществление деятельности на рынке ценных бумаг;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значения коэффициентов достаточности собственного капитала и ликвидности в трехкратном размере превышают требования соответствующих пруденциальных нормативов.";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портфелем, утвержденной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Определение факторов, влияющих на ухудшение финансового положения организаций, осуществляющих брокерскую и (или) дилерскую деятельность на рынке ценных бумаг и (или) деятельность по управлению инвестиционным портфелем (далее – организация), осуществляется по следующей методике: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два и более раза в течение 3 (трех) последовательных месяцев коэффициента достаточности собственного капитала до или ниже уровня, превышающего на 0,3 пункта значение коэффициента достаточности собственного капитала,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79 "Об установлении видов пруденциальных нормативов для организаций, осуществляющих деятельность по управлению инвестиционным портфелем, утверждении правил и методики расчета значений пруденциальных нормативов, обязательных к соблюдению организациями, осуществляющими деятельность по управлению инвестиционным портфелем", зарегистрированным в Реестре государственной регистрации нормативных правовых актов под № 17008 (далее – постановление № 79),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апреля 2018 года № 80 "Об установлении видов пруденциальных нормативов для организаций, осуществляющих брокерскую и (или) дилерскую деятельность на рынке ценных бумаг, утверждении правил и методики расчета значений пруденциальных нормативов, обязательных к соблюдению организациями, осуществляющими брокерскую и (или) дилерскую деятельность на рынке ценных бумаг", зарегистрированным в Реестре государственной регистрации нормативных правовых актов под № 17005 (далее - постановление № 80);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снижение коэффициента достаточности собственного капитала при нахождении его первоначального значения ниже уровня, превышающего на 0,3 пункта значение коэффициента достаточности собственного капитала,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80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совокупное снижение объема ликвидных активов в течение 3 (трех) последовательных месяцев на 20 (двадцать) процентов и более;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убыточная деятельность в течение 3 (трех) последовательных месяцев.".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абзаца девятого пункта 1 настоящего постановления распространяется на отношения, возникшие с 1 марта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