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1b245" w14:textId="981b2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делам государственной службы и противодействию коррупции от 21 февраля 2017 года № 40 "О некоторых вопросах занятия административной государственной должности"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16 августа 2022 года № 181. Зарегистрирован в Министерстве юстиции Республики Казахстан 25 августа 2022 года № 29280. Утратил силу приказом Председателя Агентства Республики Казахстан по делам государственной службы от 8 декабря 2025 года № 196.</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от 08.12.2025 </w:t>
      </w:r>
      <w:r>
        <w:rPr>
          <w:rFonts w:ascii="Times New Roman"/>
          <w:b w:val="false"/>
          <w:i w:val="false"/>
          <w:color w:val="ff0000"/>
          <w:sz w:val="28"/>
        </w:rPr>
        <w:t>№ 196</w:t>
      </w:r>
      <w:r>
        <w:rPr>
          <w:rFonts w:ascii="Times New Roman"/>
          <w:b w:val="false"/>
          <w:i w:val="false"/>
          <w:color w:val="ff0000"/>
          <w:sz w:val="28"/>
        </w:rPr>
        <w:t xml:space="preserve"> (вводится в действие с 01.01.2026).</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21 февраля 2017 года № 40 "О некоторых вопросах занятия административной государственной должности" (зарегистрирован в Реестре государственной регистрации нормативных правовых актов за № 14939)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конкурса на занятие административной государственной должности корпуса "Б",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"19. В состав конкурсной комиссии или единой конкурсной комиссии включаются работники службы управления персоналом (кадровой службы) либо лица, на которых возложено исполнение обязанностей службы управления персоналом (кадровой службы), работники структурных подразделений, имеющих вакантные должности, на занятие которых проводится конкурс, а также иные лица, определяемые лицом, указанным в пункте 14, части первой пункта 16, части первой и второй пункта 17 настоящих Правил (далее – уполномоченное лицо).</w:t>
      </w:r>
    </w:p>
    <w:bookmarkEnd w:id="3"/>
    <w:bookmarkStart w:name="z9" w:id="4"/>
    <w:p>
      <w:pPr>
        <w:spacing w:after="0"/>
        <w:ind w:left="0"/>
        <w:jc w:val="both"/>
      </w:pPr>
      <w:r>
        <w:rPr>
          <w:rFonts w:ascii="Times New Roman"/>
          <w:b w:val="false"/>
          <w:i w:val="false"/>
          <w:color w:val="000000"/>
          <w:sz w:val="28"/>
        </w:rPr>
        <w:t>
      Конкурс на занятие должностей заместителя акима района, района в городе и города областного значения, а также заместителя руководителя областного исполнительного органа, исполнительного органа города республиканского значения, столицы, финансируемого из местного бюджета, проводится конкурсной комиссией или единой конкурсной комиссией аппарата акима соответствующей области, города республиканского значения, столицы, с включением в ее состав представителя аппарата акима данного района, района в городе и города областного значения или представителя данного исполнительного органа.</w:t>
      </w:r>
    </w:p>
    <w:bookmarkEnd w:id="4"/>
    <w:bookmarkStart w:name="z10" w:id="5"/>
    <w:p>
      <w:pPr>
        <w:spacing w:after="0"/>
        <w:ind w:left="0"/>
        <w:jc w:val="both"/>
      </w:pPr>
      <w:r>
        <w:rPr>
          <w:rFonts w:ascii="Times New Roman"/>
          <w:b w:val="false"/>
          <w:i w:val="false"/>
          <w:color w:val="000000"/>
          <w:sz w:val="28"/>
        </w:rPr>
        <w:t>
      При проведении конкурса на занятие должности руководителя службы управления персоналом (кадровой службы) или единой службы управления персоналом (кадровой службы) в состав конкурсной комиссии или единой конкурсной комиссии включается представитель уполномоченного органа по делам государственной службы (далее – уполномоченный орган) или его территориального подразделения.";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"28. В качестве наблюдателей на заседании конкурсной комиссии допускается присутствие граждан Республики Казахстан не моложе восемнадцати лет, в том числе работников уполномоченного органа.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"57. Результаты оценки кандидатов заносятся каждым членом конкурсной комиссии в лист оценки кандидатов по форме, согласно приложению 4 к настоящим Правилам (далее – Лист оценки), по каждой претендуемой вакантной должности.</w:t>
      </w:r>
    </w:p>
    <w:bookmarkEnd w:id="7"/>
    <w:bookmarkStart w:name="z15" w:id="8"/>
    <w:p>
      <w:pPr>
        <w:spacing w:after="0"/>
        <w:ind w:left="0"/>
        <w:jc w:val="both"/>
      </w:pPr>
      <w:r>
        <w:rPr>
          <w:rFonts w:ascii="Times New Roman"/>
          <w:b w:val="false"/>
          <w:i w:val="false"/>
          <w:color w:val="000000"/>
          <w:sz w:val="28"/>
        </w:rPr>
        <w:t>
      Лист оценки кандидата может быть заполнен в электронном виде.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"94. Результаты оценки кандидатов заносятся в Лист оценки кандидатов по каждой претендуемой вакантной должности.</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Правилам проведения конкурса на занятие административной государственной должности корпуса "Б"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на занятие</w:t>
            </w:r>
            <w:r>
              <w:br/>
            </w:r>
            <w:r>
              <w:rPr>
                <w:rFonts w:ascii="Times New Roman"/>
                <w:b w:val="false"/>
                <w:i w:val="false"/>
                <w:color w:val="000000"/>
                <w:sz w:val="20"/>
              </w:rPr>
              <w:t>административной</w:t>
            </w:r>
            <w:r>
              <w:br/>
            </w:r>
            <w:r>
              <w:rPr>
                <w:rFonts w:ascii="Times New Roman"/>
                <w:b w:val="false"/>
                <w:i w:val="false"/>
                <w:color w:val="000000"/>
                <w:sz w:val="20"/>
              </w:rPr>
              <w:t>государственной</w:t>
            </w:r>
            <w:r>
              <w:br/>
            </w:r>
            <w:r>
              <w:rPr>
                <w:rFonts w:ascii="Times New Roman"/>
                <w:b w:val="false"/>
                <w:i w:val="false"/>
                <w:color w:val="000000"/>
                <w:sz w:val="20"/>
              </w:rPr>
              <w:t>должности корпуса "Б"</w:t>
            </w:r>
          </w:p>
        </w:tc>
      </w:tr>
    </w:tbl>
    <w:bookmarkStart w:name="z24" w:id="10"/>
    <w:p>
      <w:pPr>
        <w:spacing w:after="0"/>
        <w:ind w:left="0"/>
        <w:jc w:val="both"/>
      </w:pPr>
      <w:r>
        <w:rPr>
          <w:rFonts w:ascii="Times New Roman"/>
          <w:b w:val="false"/>
          <w:i w:val="false"/>
          <w:color w:val="000000"/>
          <w:sz w:val="28"/>
        </w:rPr>
        <w:t>
                                                                               Форма</w:t>
      </w:r>
    </w:p>
    <w:bookmarkEnd w:id="10"/>
    <w:bookmarkStart w:name="z25" w:id="11"/>
    <w:p>
      <w:pPr>
        <w:spacing w:after="0"/>
        <w:ind w:left="0"/>
        <w:jc w:val="left"/>
      </w:pPr>
      <w:r>
        <w:rPr>
          <w:rFonts w:ascii="Times New Roman"/>
          <w:b/>
          <w:i w:val="false"/>
          <w:color w:val="000000"/>
        </w:rPr>
        <w:t xml:space="preserve">                                      Лист оценки кандидатов</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Фамилия, имя, отчество (при его наличии) кандидата конкурса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должности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Оценка ответов на вопросы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Общ.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проф. опыт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уровень образования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коммуник. навыки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Управл. навыки****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эссе***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Иные методы отбора (в случае применения)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Профильный* /№ вопроса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"__"______20__ г. (00.00ч.)</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2"/>
          <w:p>
            <w:pPr>
              <w:spacing w:after="20"/>
              <w:ind w:left="20"/>
              <w:jc w:val="both"/>
            </w:pPr>
            <w:r>
              <w:rPr>
                <w:rFonts w:ascii="Times New Roman"/>
                <w:b w:val="false"/>
                <w:i w:val="false"/>
                <w:color w:val="000000"/>
                <w:sz w:val="20"/>
              </w:rPr>
              <w:t>
Наименование должности,</w:t>
            </w:r>
          </w:p>
          <w:bookmarkEnd w:id="12"/>
          <w:p>
            <w:pPr>
              <w:spacing w:after="20"/>
              <w:ind w:left="20"/>
              <w:jc w:val="both"/>
            </w:pPr>
            <w:r>
              <w:rPr>
                <w:rFonts w:ascii="Times New Roman"/>
                <w:b w:val="false"/>
                <w:i w:val="false"/>
                <w:color w:val="000000"/>
                <w:sz w:val="20"/>
              </w:rPr>
              <w:t>
категория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кандидата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Наименование должности,</w:t>
            </w:r>
          </w:p>
          <w:bookmarkEnd w:id="13"/>
          <w:p>
            <w:pPr>
              <w:spacing w:after="20"/>
              <w:ind w:left="20"/>
              <w:jc w:val="both"/>
            </w:pPr>
            <w:r>
              <w:rPr>
                <w:rFonts w:ascii="Times New Roman"/>
                <w:b w:val="false"/>
                <w:i w:val="false"/>
                <w:color w:val="000000"/>
                <w:sz w:val="20"/>
              </w:rPr>
              <w:t>
категория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наименование должности,</w:t>
            </w:r>
          </w:p>
          <w:bookmarkEnd w:id="14"/>
          <w:p>
            <w:pPr>
              <w:spacing w:after="20"/>
              <w:ind w:left="20"/>
              <w:jc w:val="both"/>
            </w:pPr>
            <w:r>
              <w:rPr>
                <w:rFonts w:ascii="Times New Roman"/>
                <w:b w:val="false"/>
                <w:i w:val="false"/>
                <w:color w:val="000000"/>
                <w:sz w:val="20"/>
              </w:rPr>
              <w:t>
категория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кандидата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наименование должности,</w:t>
            </w:r>
          </w:p>
          <w:bookmarkEnd w:id="15"/>
          <w:p>
            <w:pPr>
              <w:spacing w:after="20"/>
              <w:ind w:left="20"/>
              <w:jc w:val="both"/>
            </w:pPr>
            <w:r>
              <w:rPr>
                <w:rFonts w:ascii="Times New Roman"/>
                <w:b w:val="false"/>
                <w:i w:val="false"/>
                <w:color w:val="000000"/>
                <w:sz w:val="20"/>
              </w:rPr>
              <w:t>
категория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наименование должности,</w:t>
            </w:r>
          </w:p>
          <w:bookmarkEnd w:id="16"/>
          <w:p>
            <w:pPr>
              <w:spacing w:after="20"/>
              <w:ind w:left="20"/>
              <w:jc w:val="both"/>
            </w:pPr>
            <w:r>
              <w:rPr>
                <w:rFonts w:ascii="Times New Roman"/>
                <w:b w:val="false"/>
                <w:i w:val="false"/>
                <w:color w:val="000000"/>
                <w:sz w:val="20"/>
              </w:rPr>
              <w:t>
категория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xml:space="preserve">
наименование должности, </w:t>
            </w:r>
          </w:p>
          <w:bookmarkEnd w:id="17"/>
          <w:p>
            <w:pPr>
              <w:spacing w:after="20"/>
              <w:ind w:left="20"/>
              <w:jc w:val="both"/>
            </w:pPr>
            <w:r>
              <w:rPr>
                <w:rFonts w:ascii="Times New Roman"/>
                <w:b w:val="false"/>
                <w:i w:val="false"/>
                <w:color w:val="000000"/>
                <w:sz w:val="20"/>
              </w:rPr>
              <w:t>
категория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наименование должности,</w:t>
            </w:r>
          </w:p>
          <w:bookmarkEnd w:id="18"/>
          <w:p>
            <w:pPr>
              <w:spacing w:after="20"/>
              <w:ind w:left="20"/>
              <w:jc w:val="both"/>
            </w:pPr>
            <w:r>
              <w:rPr>
                <w:rFonts w:ascii="Times New Roman"/>
                <w:b w:val="false"/>
                <w:i w:val="false"/>
                <w:color w:val="000000"/>
                <w:sz w:val="20"/>
              </w:rPr>
              <w:t>
категория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 w:id="19"/>
      <w:r>
        <w:rPr>
          <w:rFonts w:ascii="Times New Roman"/>
          <w:b w:val="false"/>
          <w:i w:val="false"/>
          <w:color w:val="000000"/>
          <w:sz w:val="28"/>
        </w:rPr>
        <w:t>
      ____________________________________________</w:t>
      </w:r>
    </w:p>
    <w:bookmarkEnd w:id="19"/>
    <w:p>
      <w:pPr>
        <w:spacing w:after="0"/>
        <w:ind w:left="0"/>
        <w:jc w:val="both"/>
      </w:pPr>
      <w:r>
        <w:rPr>
          <w:rFonts w:ascii="Times New Roman"/>
          <w:b w:val="false"/>
          <w:i w:val="false"/>
          <w:color w:val="000000"/>
          <w:sz w:val="28"/>
        </w:rPr>
        <w:t xml:space="preserve">                          (подпись члена конкурсной комиссии) 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члена конкурсной комиссии)</w:t>
      </w:r>
    </w:p>
    <w:p>
      <w:pPr>
        <w:spacing w:after="0"/>
        <w:ind w:left="0"/>
        <w:jc w:val="both"/>
      </w:pPr>
      <w:r>
        <w:rPr>
          <w:rFonts w:ascii="Times New Roman"/>
          <w:b w:val="false"/>
          <w:i w:val="false"/>
          <w:color w:val="000000"/>
          <w:sz w:val="28"/>
        </w:rPr>
        <w:t>
      "__" _______ 20__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Примечание:</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 количество вопросов и при необходимости дополнительные критерии определяются государственным органом самостоятельно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 выставляется от 0 до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должностей категорий А-1, В-1, С-1, С-О-1, C-R-1, D-1, D-О-1, Е-1, E-R-1</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применяется для руководящих должностей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Профессиональный опыт:</w:t>
            </w:r>
          </w:p>
          <w:p>
            <w:pPr>
              <w:spacing w:after="20"/>
              <w:ind w:left="20"/>
              <w:jc w:val="both"/>
            </w:pPr>
            <w:r>
              <w:rPr>
                <w:rFonts w:ascii="Times New Roman"/>
                <w:b w:val="false"/>
                <w:i w:val="false"/>
                <w:color w:val="000000"/>
                <w:sz w:val="20"/>
              </w:rPr>
              <w:t>
</w:t>
            </w:r>
            <w:r>
              <w:rPr>
                <w:rFonts w:ascii="Times New Roman"/>
                <w:b w:val="false"/>
                <w:i w:val="false"/>
                <w:color w:val="000000"/>
                <w:sz w:val="20"/>
              </w:rPr>
              <w:t>      0 баллов – профессиональный опыт в областях, соответствующих функциональным направлениям должности, отсутствует</w:t>
            </w:r>
          </w:p>
          <w:p>
            <w:pPr>
              <w:spacing w:after="20"/>
              <w:ind w:left="20"/>
              <w:jc w:val="both"/>
            </w:pPr>
            <w:r>
              <w:rPr>
                <w:rFonts w:ascii="Times New Roman"/>
                <w:b w:val="false"/>
                <w:i w:val="false"/>
                <w:color w:val="000000"/>
                <w:sz w:val="20"/>
              </w:rPr>
              <w:t>
</w:t>
            </w:r>
            <w:r>
              <w:rPr>
                <w:rFonts w:ascii="Times New Roman"/>
                <w:b w:val="false"/>
                <w:i w:val="false"/>
                <w:color w:val="000000"/>
                <w:sz w:val="20"/>
              </w:rPr>
              <w:t>      1 балл – соответствующий профессиональный опыт до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2 балла – соответствующий профессиональный опыт от года до двух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      3 балла – соответствующий профессиональный опыт от двух до трех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      4 балла – соответствующий профессиональный опыт от трех до пяти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      5 баллов – соответствующий профессиональный опыт пять и более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1 балл – соответствует образованию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2 балла – магистр в соответствующей сфере</w:t>
            </w:r>
          </w:p>
          <w:p>
            <w:pPr>
              <w:spacing w:after="20"/>
              <w:ind w:left="20"/>
              <w:jc w:val="both"/>
            </w:pPr>
            <w:r>
              <w:rPr>
                <w:rFonts w:ascii="Times New Roman"/>
                <w:b w:val="false"/>
                <w:i w:val="false"/>
                <w:color w:val="000000"/>
                <w:sz w:val="20"/>
              </w:rPr>
              <w:t>
</w:t>
            </w:r>
            <w:r>
              <w:rPr>
                <w:rFonts w:ascii="Times New Roman"/>
                <w:b w:val="false"/>
                <w:i w:val="false"/>
                <w:color w:val="000000"/>
                <w:sz w:val="20"/>
              </w:rPr>
              <w:t>      3 балла – доктор PhD в соответствующей сфере</w:t>
            </w:r>
          </w:p>
          <w:p>
            <w:pPr>
              <w:spacing w:after="20"/>
              <w:ind w:left="20"/>
              <w:jc w:val="both"/>
            </w:pPr>
            <w:r>
              <w:rPr>
                <w:rFonts w:ascii="Times New Roman"/>
                <w:b w:val="false"/>
                <w:i w:val="false"/>
                <w:color w:val="000000"/>
                <w:sz w:val="20"/>
              </w:rPr>
              <w:t>
</w:t>
            </w:r>
            <w:r>
              <w:rPr>
                <w:rFonts w:ascii="Times New Roman"/>
                <w:b w:val="false"/>
                <w:i w:val="false"/>
                <w:color w:val="000000"/>
                <w:sz w:val="20"/>
              </w:rPr>
              <w:t>      4 балла – есть научная степень кандидата наук в соответствующей сфере</w:t>
            </w:r>
          </w:p>
          <w:p>
            <w:pPr>
              <w:spacing w:after="20"/>
              <w:ind w:left="20"/>
              <w:jc w:val="both"/>
            </w:pPr>
            <w:r>
              <w:rPr>
                <w:rFonts w:ascii="Times New Roman"/>
                <w:b w:val="false"/>
                <w:i w:val="false"/>
                <w:color w:val="000000"/>
                <w:sz w:val="20"/>
              </w:rPr>
              <w:t>
      5 баллов – есть научная степень доктора наук в соответствующей сфере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1"/>
          <w:p>
            <w:pPr>
              <w:spacing w:after="20"/>
              <w:ind w:left="20"/>
              <w:jc w:val="both"/>
            </w:pPr>
            <w:r>
              <w:rPr>
                <w:rFonts w:ascii="Times New Roman"/>
                <w:b w:val="false"/>
                <w:i w:val="false"/>
                <w:color w:val="000000"/>
                <w:sz w:val="20"/>
              </w:rPr>
              <w:t>
  Коммуникативные навыки:</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      0 баллов – кандидат не показал способности вести беседу</w:t>
            </w:r>
          </w:p>
          <w:p>
            <w:pPr>
              <w:spacing w:after="20"/>
              <w:ind w:left="20"/>
              <w:jc w:val="both"/>
            </w:pPr>
            <w:r>
              <w:rPr>
                <w:rFonts w:ascii="Times New Roman"/>
                <w:b w:val="false"/>
                <w:i w:val="false"/>
                <w:color w:val="000000"/>
                <w:sz w:val="20"/>
              </w:rPr>
              <w:t>
</w:t>
            </w:r>
            <w:r>
              <w:rPr>
                <w:rFonts w:ascii="Times New Roman"/>
                <w:b w:val="false"/>
                <w:i w:val="false"/>
                <w:color w:val="000000"/>
                <w:sz w:val="20"/>
              </w:rPr>
              <w:t>      1 балл – кандидат ведет беседу скованно, не реагирует на наводящие вопросы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2 – 3 балла – кандидат ведет беседу скованно, но реагирует на наводящие вопросы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4 балла – кандидат достаточно легко ведет беседу по профессиональной тематике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      5 баллов – кандидат свободно ведет беседу по профессиональной тематике, легко реагирует на вопросы на любую 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      Управленческие навыки:</w:t>
            </w:r>
          </w:p>
          <w:p>
            <w:pPr>
              <w:spacing w:after="20"/>
              <w:ind w:left="20"/>
              <w:jc w:val="both"/>
            </w:pPr>
            <w:r>
              <w:rPr>
                <w:rFonts w:ascii="Times New Roman"/>
                <w:b w:val="false"/>
                <w:i w:val="false"/>
                <w:color w:val="000000"/>
                <w:sz w:val="20"/>
              </w:rPr>
              <w:t>
</w:t>
            </w:r>
            <w:r>
              <w:rPr>
                <w:rFonts w:ascii="Times New Roman"/>
                <w:b w:val="false"/>
                <w:i w:val="false"/>
                <w:color w:val="000000"/>
                <w:sz w:val="20"/>
              </w:rPr>
              <w:t>      0 баллов – опыт работы на руководящих должностях отсутствует</w:t>
            </w:r>
          </w:p>
          <w:p>
            <w:pPr>
              <w:spacing w:after="20"/>
              <w:ind w:left="20"/>
              <w:jc w:val="both"/>
            </w:pPr>
            <w:r>
              <w:rPr>
                <w:rFonts w:ascii="Times New Roman"/>
                <w:b w:val="false"/>
                <w:i w:val="false"/>
                <w:color w:val="000000"/>
                <w:sz w:val="20"/>
              </w:rPr>
              <w:t>
</w:t>
            </w:r>
            <w:r>
              <w:rPr>
                <w:rFonts w:ascii="Times New Roman"/>
                <w:b w:val="false"/>
                <w:i w:val="false"/>
                <w:color w:val="000000"/>
                <w:sz w:val="20"/>
              </w:rPr>
              <w:t>      1 балл – опыт работы на руководящих должностях составляет до трех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      2 балла – опыт работы на руководящих должностях составляет от трех до четырех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      3 балла – опыт работы на руководящих должностях составляет от четырех до пяти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      4 балла – опыт работы на руководящих должностях составляет от пяти до шести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      5 баллов – опыт работы на руководящих должностях составляет шесть и более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Параметры оценки эссе (не более двухсот слов):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0 баллов – кандидат не написал либо не раскрыл тему эссе (показывает незнание вопроса)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      1 – 2 балла – кандидат частично раскрыл тему эссе (обладает общими знаниями и пониманием соответствующей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3 – 4 балла – кандидат хорошо раскрыл тему эссе (обладает широкими знаниями и пониманием соответствующей отрасли, очень хорошим уровнем независимого и критического анализа)</w:t>
            </w:r>
          </w:p>
          <w:p>
            <w:pPr>
              <w:spacing w:after="20"/>
              <w:ind w:left="20"/>
              <w:jc w:val="both"/>
            </w:pPr>
            <w:r>
              <w:rPr>
                <w:rFonts w:ascii="Times New Roman"/>
                <w:b w:val="false"/>
                <w:i w:val="false"/>
                <w:color w:val="000000"/>
                <w:sz w:val="20"/>
              </w:rPr>
              <w:t>
      5 баллов – кандидат полностью раскрыл тему эссе (обладает глубокими знаниями и пониманием соответствующей отрасли, высоким уровнем независимого и критического анализа, предлагает меры по совершенствованию отрасли)</w:t>
            </w:r>
          </w:p>
        </w:tc>
      </w:tr>
    </w:tbl>
    <w:bookmarkStart w:name="z68" w:id="22"/>
    <w:p>
      <w:pPr>
        <w:spacing w:after="0"/>
        <w:ind w:left="0"/>
        <w:jc w:val="both"/>
      </w:pPr>
      <w:r>
        <w:rPr>
          <w:rFonts w:ascii="Times New Roman"/>
          <w:b w:val="false"/>
          <w:i w:val="false"/>
          <w:color w:val="000000"/>
          <w:sz w:val="28"/>
        </w:rPr>
        <w:t>
      2. Департаменту отбора на государственную службу Агентства Республики Казахстан по делам государственной службы в установленном законодательством порядке обеспечить:</w:t>
      </w:r>
    </w:p>
    <w:bookmarkEnd w:id="22"/>
    <w:bookmarkStart w:name="z69" w:id="2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3"/>
    <w:bookmarkStart w:name="z70" w:id="24"/>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делам государственной службы.</w:t>
      </w:r>
    </w:p>
    <w:bookmarkEnd w:id="24"/>
    <w:bookmarkStart w:name="z71" w:id="25"/>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Председателя Агентства Республики Казахстан по делам государственной службы, курирующего вопросы государственной службы.</w:t>
      </w:r>
    </w:p>
    <w:bookmarkEnd w:id="25"/>
    <w:bookmarkStart w:name="z72" w:id="26"/>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w:t>
            </w:r>
          </w:p>
          <w:p>
            <w:pPr>
              <w:spacing w:after="0"/>
              <w:ind w:left="0"/>
              <w:jc w:val="left"/>
            </w:pPr>
          </w:p>
          <w:p>
            <w:pPr>
              <w:spacing w:after="20"/>
              <w:ind w:left="20"/>
              <w:jc w:val="both"/>
            </w:pPr>
            <w:r>
              <w:rPr>
                <w:rFonts w:ascii="Times New Roman"/>
                <w:b w:val="false"/>
                <w:i/>
                <w:color w:val="000000"/>
                <w:sz w:val="20"/>
              </w:rPr>
              <w:t xml:space="preserve">делам государственной службы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