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acce" w14:textId="786a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22 июня 2022 года № 48. Зарегистрирован в Министерстве юстиции Республики Казахстан 23 июня 2022 года № 28577.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Пор</w:t>
      </w:r>
      <w:r>
        <w:rPr>
          <w:rFonts w:ascii="Times New Roman"/>
          <w:b/>
          <w:i w:val="false"/>
          <w:color w:val="000000"/>
          <w:sz w:val="28"/>
        </w:rPr>
        <w:t xml:space="preserve">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формирования регулирующими государственными органами системы оценки и управления рисками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Республики Казахстан под № 17371) следующие изменения: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формы проверочного листа";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политики развития предпринимательства Министерства национальной экономики Республики Казахстан в установленном законодательством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опубликования, за исключением пункта 1 и абзаца шестого пункта 2, которые вводятся в действие с 1 января 2023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регулирующими государственными органами системы оценки и управления рисками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национальной экономики РК от 14.12.2022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1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1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регулирующими государственными органами системы оценки и управления рисками (далее – Правила) разработаны в соответствии с подпунктом 5-2)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Кодекс) и определяют порядок формирования регулирующими государственными органами системы оценки и управления рисками.</w:t>
      </w:r>
    </w:p>
    <w:bookmarkEnd w:id="16"/>
    <w:bookmarkStart w:name="z1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предназначены для разработки регулирующими государственными органами критериев оценки степени риска и управления рисками для отбора субъектов (объектов) контроля и надзора с целью проведения проверки, проводимые на соответствие квалификационным или разрешительным требованиям по выданным разрешениям, требованиям по направленным уведомлениям в соответствии с Законом Республики Казахстан "О разрешениях и уведомлениях" (далее – проверка на соответствие требованиям) и профилактического контроля с посещением субъекта (объекта) контроля и надзора, а также разработки проверочных листов, утверждаемых в соответствии с пунктом 2 статьи 132, </w:t>
      </w:r>
      <w:r>
        <w:rPr>
          <w:rFonts w:ascii="Times New Roman"/>
          <w:b w:val="false"/>
          <w:i w:val="false"/>
          <w:color w:val="000000"/>
          <w:sz w:val="28"/>
        </w:rPr>
        <w:t>статьей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пунктами 2 и 3 </w:t>
      </w:r>
      <w:r>
        <w:rPr>
          <w:rFonts w:ascii="Times New Roman"/>
          <w:b w:val="false"/>
          <w:i w:val="false"/>
          <w:color w:val="000000"/>
          <w:sz w:val="28"/>
        </w:rPr>
        <w:t>статьи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7"/>
    <w:bookmarkStart w:name="z1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8"/>
    <w:bookmarkStart w:name="z1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19"/>
    <w:bookmarkStart w:name="z1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20"/>
    <w:bookmarkStart w:name="z1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 – вероятность причинения вреда в результате деятельности субъекта контроля и надзора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1"/>
    <w:bookmarkStart w:name="z1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и надзора по степеням риска для последующего осуществления профилактического контроля с посещением субъекта (объекта) контроля и надзора и (или) проверок на соответствие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надзора и (или) освобождения такого субъекта (объекта) контроля и надзора от профилактического контроля с посещением субъекта (объекта) контроля и надзора и (или) проверок на соответствие требованиям;</w:t>
      </w:r>
    </w:p>
    <w:bookmarkEnd w:id="22"/>
    <w:bookmarkStart w:name="z1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и надзора в зависимости от степени риска в определенной сфере деятельности и не зависящие непосредственно от отдельного субъекта (объекта) контроля и надзора;</w:t>
      </w:r>
    </w:p>
    <w:bookmarkEnd w:id="23"/>
    <w:bookmarkStart w:name="z1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 и надзора, особенностями отраслевого развития и факторами, влияющими на это развитие, позволяющих отнести субъекты (объекты) контроля и надзора к различным степеням риска;</w:t>
      </w:r>
    </w:p>
    <w:bookmarkEnd w:id="24"/>
    <w:bookmarkStart w:name="z1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и надзора в зависимости от результатов деятельности конкретного субъекта (объекта) контроля и надзора;</w:t>
      </w:r>
    </w:p>
    <w:bookmarkEnd w:id="25"/>
    <w:bookmarkStart w:name="z1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проверочный лист – перечень требований, предъявляемых к деятельности субъектов (объектов) контроля и надзора, несоблюдение которых влечет за собой угрозу жизни и здоровью человека, окружающей среде, законным интересам физических и юридических лиц, государства;</w:t>
      </w:r>
    </w:p>
    <w:bookmarkEnd w:id="26"/>
    <w:bookmarkStart w:name="z1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выборочная совокупность (выборка) – перечень оцениваемых субъектов (объектов), относимых к однородной группе субъектов (объектов) контроля и надзора в конкретной сфере государственного контроля и надзора,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Заместителя Премьер-Министра – Министра национальной экономики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и проверочные листы, применяемые для проведения профилактического контроля с посещением субъекта (объекта) контроля и надзора и (или) проверки на соответствие требованиям, утверждаются совместным актом регулирующих государственных органов, уполномоченного органа по предпринимательству и размещаются на интернет-ресурсах регулирующих государственных органов в соответствии с пунктом 5 статьи 141 Кодекса.</w:t>
      </w:r>
    </w:p>
    <w:bookmarkStart w:name="z1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государственных органов об утверждении критериев оценки степени риска и управления рисками, проверочных листов до их утверждения подлежат согласованию с уполномоченным органом по правовой статистике и специальным учетам на предмет соответствия требованиям информационной системы – единого реестра субъектов и объектов проверок.</w:t>
      </w:r>
    </w:p>
    <w:bookmarkEnd w:id="28"/>
    <w:bookmarkStart w:name="z1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уполномоченным органом по правовой статистике и специальным учетам составляет пять рабочих дней со дня поступления проекта на согласование.</w:t>
      </w:r>
    </w:p>
    <w:bookmarkEnd w:id="29"/>
    <w:bookmarkStart w:name="z15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регулирующими государственными органами системы оценки и управления рисками при проведении проверки на соответствие требованиям и профилактического контроля субъектов (объектов) контроля и надзора</w:t>
      </w:r>
    </w:p>
    <w:bookmarkEnd w:id="30"/>
    <w:bookmarkStart w:name="z1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управления рисками при осуществлении профилактического контроля с посещением субъекта (объекта) контроля и надзора и (или) проверки на соответствие требованиям, критерии оценки степени риска для проведения проверки на соответствие требованиям и профилактического контроля субъектов (объектов) контроля и надзора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31"/>
    <w:bookmarkStart w:name="z1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государственные органы по объективным критериям относят субъекты (объекты) контроля и надзора к одной из следующих степеней риска:</w:t>
      </w:r>
    </w:p>
    <w:bookmarkEnd w:id="32"/>
    <w:bookmarkStart w:name="z1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3"/>
    <w:bookmarkStart w:name="z1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4"/>
    <w:bookmarkStart w:name="z1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5"/>
    <w:bookmarkStart w:name="z1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 и надзора, отнесенных к высокой и средней степени риска по объективным критериям, проводятся проверка на соответствие требованиям, профилактический контроль с посещением субъекта (объекта) контроля и надзора, профилактический контроль без посещения субъекта (объекта) контроля и надзора и внеплановая проверка.</w:t>
      </w:r>
    </w:p>
    <w:bookmarkEnd w:id="36"/>
    <w:bookmarkStart w:name="z1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 и надзора, отнесенных к низкой степени риска по объективным критериям, проводятся проверка на соответствие требованиям, профилактический контроль без посещения субъекта (объекта) контроля и надзора и внеплановая проверка.</w:t>
      </w:r>
    </w:p>
    <w:bookmarkEnd w:id="37"/>
    <w:bookmarkStart w:name="z1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государственные органы по субъективным критериям относят субъекты (объекты) контроля и надзора к одной из следующих степеней риска:</w:t>
      </w:r>
    </w:p>
    <w:bookmarkEnd w:id="38"/>
    <w:bookmarkStart w:name="z1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9"/>
    <w:bookmarkStart w:name="z1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0"/>
    <w:bookmarkStart w:name="z1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1"/>
    <w:bookmarkStart w:name="z1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и надзора относится:</w:t>
      </w:r>
    </w:p>
    <w:bookmarkEnd w:id="42"/>
    <w:bookmarkStart w:name="z1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43"/>
    <w:bookmarkStart w:name="z1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44"/>
    <w:bookmarkStart w:name="z1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45"/>
    <w:bookmarkStart w:name="z1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 и надзора, соответствуют степени нарушения – грубое, значительное и незначительное.</w:t>
      </w:r>
    </w:p>
    <w:bookmarkEnd w:id="46"/>
    <w:bookmarkStart w:name="z1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определения грубым, значительным и незначительным нарушениям устанавливаются в критериях оценки степени риска регулирующего государственного органа с учетом специфики соответствующей сферы государственного контроля и надзора.</w:t>
      </w:r>
    </w:p>
    <w:bookmarkEnd w:id="47"/>
    <w:bookmarkStart w:name="z1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нарушения (грубое, значительное, незначительное) присваивается в соответствии с установленными определениями грубых, значительных, незначительных нарушений по субъективным критериям.</w:t>
      </w:r>
    </w:p>
    <w:bookmarkEnd w:id="48"/>
    <w:bookmarkStart w:name="z1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Критерии оценки степени риска для проведения проверки на соответствие требованиям и профилактического контроля субъектов (объектов) контроля и надзора формируются посредством определения объективных и субъективных критериев.</w:t>
      </w:r>
    </w:p>
    <w:bookmarkEnd w:id="49"/>
    <w:bookmarkStart w:name="z17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50"/>
    <w:bookmarkStart w:name="z1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объективных критериев осуществляется посредством определения риска.</w:t>
      </w:r>
    </w:p>
    <w:bookmarkEnd w:id="51"/>
    <w:bookmarkStart w:name="z1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Определение риска по объективным критериям осуществляется в зависимости от специфики сферы, в которой осуществляется государственный контроль и надзор с учетом одного из следующих критериев:</w:t>
      </w:r>
    </w:p>
    <w:bookmarkEnd w:id="52"/>
    <w:bookmarkStart w:name="z1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опасности (сложности) объекта;</w:t>
      </w:r>
    </w:p>
    <w:bookmarkEnd w:id="53"/>
    <w:bookmarkStart w:name="z1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масштабов тяжести возможных негативных последствий, вреда на регулируемую сферу (область);</w:t>
      </w:r>
    </w:p>
    <w:bookmarkEnd w:id="54"/>
    <w:bookmarkStart w:name="z1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наступления неблагоприятного происшествия для жизни или здоровья человека, окружающей среды, законных интересов физических и юридических лиц, государства.</w:t>
      </w:r>
    </w:p>
    <w:bookmarkEnd w:id="55"/>
    <w:bookmarkStart w:name="z1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проведения анализа возможных рисков субъекты (объекты) контроля и надзора распределяются по трем степеням риска по объективным критериям (высокая, средняя и низкая).</w:t>
      </w:r>
    </w:p>
    <w:bookmarkEnd w:id="56"/>
    <w:bookmarkStart w:name="z1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Субъекты (объекты) контроля и надзора распределяются по трем степеням риска по объективным критериям в критериях оценки степени риска регулирующего государственного органа с учетом специфики соответствующей сферы государственного контроля и надзора.</w:t>
      </w:r>
    </w:p>
    <w:bookmarkEnd w:id="57"/>
    <w:bookmarkStart w:name="z18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58"/>
    <w:bookmarkStart w:name="z1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Определение субъективных критериев осуществляется с применением следующих этапов:</w:t>
      </w:r>
    </w:p>
    <w:bookmarkEnd w:id="59"/>
    <w:bookmarkStart w:name="z1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60"/>
    <w:bookmarkStart w:name="z1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61"/>
    <w:bookmarkStart w:name="z1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Формирование базы данных и сбор информации необходимы для выявления субъектов (объектов) контроля и надзора.</w:t>
      </w:r>
    </w:p>
    <w:bookmarkEnd w:id="62"/>
    <w:bookmarkStart w:name="z1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сбора и обработки информации в полной мере автоматизируются и допускают возможность проверки корректности полученных данных.</w:t>
      </w:r>
    </w:p>
    <w:bookmarkEnd w:id="63"/>
    <w:bookmarkStart w:name="z1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следующие источники информации:</w:t>
      </w:r>
    </w:p>
    <w:bookmarkEnd w:id="64"/>
    <w:bookmarkStart w:name="z1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 и надзора;</w:t>
      </w:r>
    </w:p>
    <w:bookmarkEnd w:id="65"/>
    <w:bookmarkStart w:name="z1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 и надзора;</w:t>
      </w:r>
    </w:p>
    <w:bookmarkEnd w:id="66"/>
    <w:bookmarkStart w:name="z1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неблагоприятных происшествий, возникших по вине субъекта контроля и надзора.</w:t>
      </w:r>
    </w:p>
    <w:bookmarkEnd w:id="67"/>
    <w:bookmarkStart w:name="z1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неблагоприятным происшествиям относятся регистрация случаев инфекционных заболеваний и (или) паразитарных и групповых инфекционных заболеваний и отравлений, в том числе пищевые, пожары, производственные травмы и аварии, происшествия, крушения, инциденты, выявление особо опасных вредных организмов и карантинных объектов, очагов их распространения, сокращение численности объектов животного мира и ухудшение среды их обитания;</w:t>
      </w:r>
    </w:p>
    <w:bookmarkEnd w:id="68"/>
    <w:bookmarkStart w:name="z1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и количество подтвержденных жалоб и обращений;</w:t>
      </w:r>
    </w:p>
    <w:bookmarkEnd w:id="69"/>
    <w:bookmarkStart w:name="z1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аудита (экспертизы) независимых организаций (энергоаудит, энергоэкспертиза, независимый аудит при ликвидации, экспертиза промышленной безопасности);</w:t>
      </w:r>
    </w:p>
    <w:bookmarkEnd w:id="70"/>
    <w:bookmarkStart w:name="z1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результаты профилактического контроля без посещения субъекта (объекта) контроля и надзора (итоговые документы, выданные по итогам профилактического контроля без посещения субъекта (объекта) контроля и надзора);</w:t>
      </w:r>
    </w:p>
    <w:bookmarkEnd w:id="71"/>
    <w:bookmarkStart w:name="z1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официальных интернет-ресурсов государственных органов, средств массовой информации;</w:t>
      </w:r>
    </w:p>
    <w:bookmarkEnd w:id="72"/>
    <w:bookmarkStart w:name="z1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результаты анализа сведений, представляемых государственными органами и организациями;</w:t>
      </w:r>
    </w:p>
    <w:bookmarkEnd w:id="73"/>
    <w:bookmarkStart w:name="z1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результаты проведения расследования органами государственного контроля и надзора в соответствии с основаниями, предусмотренными статьей 144-4 Кодекса.</w:t>
      </w:r>
    </w:p>
    <w:bookmarkEnd w:id="74"/>
    <w:bookmarkStart w:name="z2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отбора субъектов предпринимательства при проведении проверок на соответствие требованиям дополнительными источниками информации являются:</w:t>
      </w:r>
    </w:p>
    <w:bookmarkEnd w:id="75"/>
    <w:bookmarkStart w:name="z2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аттестации, экзаменов сотрудников субъектов контроля и надзора (при наличии таких требований);</w:t>
      </w:r>
    </w:p>
    <w:bookmarkEnd w:id="76"/>
    <w:bookmarkStart w:name="z2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аттестации (аккредитации) субъектов предпринимательства (при наличии таких требований) при срочности выдаваемых разрешений.</w:t>
      </w:r>
    </w:p>
    <w:bookmarkEnd w:id="77"/>
    <w:bookmarkStart w:name="z2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основании имеющихся источников информации регулирующие государственные органы формируют данные по субъективным критериям, подлежащие анализу и оценке.</w:t>
      </w:r>
    </w:p>
    <w:bookmarkEnd w:id="78"/>
    <w:bookmarkStart w:name="z2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(объекта) контроля и надзора в отношении субъекта (объекта) контроля и надзора с наибольшим потенциальным риском.</w:t>
      </w:r>
    </w:p>
    <w:bookmarkEnd w:id="79"/>
    <w:bookmarkStart w:name="z2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и надзора либо данные, по которым истек срок исковой давности в соответствии с законодательством Республики Казахстан.</w:t>
      </w:r>
    </w:p>
    <w:bookmarkEnd w:id="80"/>
    <w:bookmarkStart w:name="z2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 и надзора,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81"/>
    <w:bookmarkStart w:name="z2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3 настоящих Правил, рассчитывается показатель степени риска по субъективным критериям по шкале от 0 до 100 баллов.</w:t>
      </w:r>
    </w:p>
    <w:bookmarkEnd w:id="82"/>
    <w:bookmarkStart w:name="z2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Приоритетность применяемых источников информации и значимость показателей субъективных критериев устанавливаются в критериях оценки степени риска регулирующего государственного органа с учетом специфики соответствующей сферы государственного контроля и надзора согласно перечню субъективных критериев для определения степени риска по субъективным критериям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3"/>
    <w:bookmarkStart w:name="z2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субъективных критериев определяются для каждой однородной группы субъектов (объектов) контроля и надзора в каждой сфере государственного контроля и надзора. Удельный вес по значимости показателей субъективных критериев определяется в зависимости от важности показателя в оценке риска для каждой однородной группы субъектов (объектов) контроля и надзора в каждой сфере государственного контроля и надзора. Допустимые значения показателей субъективных критериев регламентируются нормативными правовыми актами Республики Казахстан.</w:t>
      </w:r>
    </w:p>
    <w:bookmarkEnd w:id="84"/>
    <w:bookmarkStart w:name="z21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Управление рисками</w:t>
      </w:r>
    </w:p>
    <w:bookmarkEnd w:id="85"/>
    <w:bookmarkStart w:name="z2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реализации принципа поощрения добросовестных субъектов контроля и надзора и концентрации контроля и надзора на нарушителях субъекты (объекты) контроля и надзора освобождаются от проведения профилактического контроля с посещением субъекта (объекта) контроля и надзора и (или) проверки на соответствие требованиям на период, определяемый субъективными критериями оценки степени риска регулирующего государственного органа.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17 предусматривается в редакции приказа Заместителя Премьер-Министра – Министра национальной экономики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Субъекты (объекты) контроля и надзора по субъективным критериям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и надзора в случаях:</w:t>
      </w:r>
    </w:p>
    <w:bookmarkStart w:name="z2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такие субъекты заключили договоры страхования гражданско-правовой ответственности перед третьими лицами в случаях и порядке, установленных законами Республики Казахстан;</w:t>
      </w:r>
    </w:p>
    <w:bookmarkEnd w:id="87"/>
    <w:bookmarkStart w:name="z2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(объекта) контроля и надзора или проведения проверок на соответствие требованиям;</w:t>
      </w:r>
    </w:p>
    <w:bookmarkEnd w:id="88"/>
    <w:bookmarkStart w:name="z2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субъекты являются членами саморегулируемой организации, основанной на добровольном членстве (участии) в соответствии с Законом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89"/>
    <w:bookmarkStart w:name="z2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Регулирующие государственные органы, а также государственные органы при осуществлении государственного контроля и надзора за членом (участником) саморегулируемой организации, основанной на добровольном членстве (участии), учитывают факт наличия такого членства (участия) в критериях оценки степени риска, как смягчающий индикатор, с учетом заключенного соглашения о признании результатов деятельности саморегулируемой организации в порядке, определяемом уполномоченным органом по предпринимательству в соответствии с пунктом 10 статьи 141 Кодекса.</w:t>
      </w:r>
    </w:p>
    <w:bookmarkEnd w:id="90"/>
    <w:bookmarkStart w:name="z2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пункта,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настоящих Правил не распространяются на сферы национальной безопасности, обороны, обеспечения общественного порядка.</w:t>
      </w:r>
    </w:p>
    <w:bookmarkEnd w:id="91"/>
    <w:bookmarkStart w:name="z2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целях освобождения от профилактического контроля с посещением субъекта (объекта) контроля и надзора и (или) проведения проверки на соответствие требованиям, регулирующими государственными органами, а также государственными органами учитываются смягчающие индикаторы.</w:t>
      </w:r>
    </w:p>
    <w:bookmarkEnd w:id="92"/>
    <w:bookmarkStart w:name="z2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смягчающим индикаторам относится:</w:t>
      </w:r>
    </w:p>
    <w:bookmarkEnd w:id="93"/>
    <w:bookmarkStart w:name="z2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аудио и (или) видео фиксации, с передачей данных в онлайн-режиме;</w:t>
      </w:r>
    </w:p>
    <w:bookmarkEnd w:id="94"/>
    <w:bookmarkStart w:name="z2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датчиков и фиксирующих устройств по передаче данных в системы государственных органов (датчики воды, датчики фиксации выбросов в атмосферу).</w:t>
      </w:r>
    </w:p>
    <w:bookmarkEnd w:id="95"/>
    <w:bookmarkStart w:name="z2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освобождение от профилактического контроля с посещением субъекта (объекта) контроля и надзора и (или) проведения проверки на соответствие требованиям регулирующими государственными органами, а также государственными органами осуществляется в части требований, данные по которым получены указанными в смягчающих индикаторах способами.</w:t>
      </w:r>
    </w:p>
    <w:bookmarkEnd w:id="96"/>
    <w:bookmarkStart w:name="z2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Освобождение от профилактического контроля с посещением субъекта (объекта) контроля и надзора и (или) проведения проверки на соответствие требованиям возможно на основании применяемых альтернативных (независимых) систем оценки и анализа рисков, аудита, экспертиз в соответствии с критериями оценки степени риска регулирующего государственного органа, если такие основания предусмотрены в международных договорах, ратифицированных Республикой Казахстан.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Параграф 4 предусматривается в редакции приказа Заместителя Премьер-Министра – Министра национальной экономики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Особенности формирования системы оценки и управления рисками для государственных органов, использующих информационные системы с учетом специфики и конфиденциальности, в соответствии с законодательными актами Республики Казахстан</w:t>
      </w:r>
    </w:p>
    <w:bookmarkStart w:name="z2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Система оценки и управления рисками государственными органами ведется с использованием информационных систем, относящих субъекты (объекты) контроля и надзора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98"/>
    <w:bookmarkStart w:name="z2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 и надзора, в отношении которых осуществляются профилактический контроль с посещением субъекта (объекта) контроля и надзора и (или) проверка на соответствие требованиям, не должен превышать пяти процентов от общего количества таких субъектов контроля и надзора в определенной сфере государственного контроля и надзора.</w:t>
      </w:r>
    </w:p>
    <w:bookmarkEnd w:id="99"/>
    <w:bookmarkStart w:name="z28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Основанием для назначения проверки на соответствие требованиям является график.</w:t>
      </w:r>
    </w:p>
    <w:bookmarkEnd w:id="100"/>
    <w:bookmarkStart w:name="z28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формируется в информационной системе оценки и управления рисками в автоматическом режиме на ежегодной основе в отношении субъектов (объектов) контроля и надзора с обязательным указанием субъектов (объектов) контроля и надзора, в отношении которых назначена проверка на соответствие требованиям.</w:t>
      </w:r>
    </w:p>
    <w:bookmarkEnd w:id="101"/>
    <w:bookmarkStart w:name="z28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проведения проверок на соответствие требованиям в срок до 10 декабря года, предшествующего году проведения проверок, направляется для опубликования на объекте информационно-коммуникационной инфраструктуры "электронного правительства".</w:t>
      </w:r>
    </w:p>
    <w:bookmarkEnd w:id="102"/>
    <w:bookmarkStart w:name="z29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проведения проверок в сфере санитарно-эпидемиологического благополучия населения опубликовывается на объекте информационно-коммуникационной инфраструктуры "электронного правительства" в срок до 10 декабря года, предшествующего году проведения проверок, и до 10 мая текущего календарного года.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21-1 в соответствии с приказом и.о. Министра национальной экономики РК от 24.06.2024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21-2. Для проведения профилактического контроля с посещением субъекта (объекта) контроля и надзора регулирующие государственные органы разрабатывают и совместно с уполномоченным органом по предпринимательству утверждают акты, касающиеся критериев оценки степени риска для отбора субъектов (объектов) контроля и надзора, проверочных листов, которые размещаются на объекте информационно-коммуникационной инфраструктуры "электронного правительства".</w:t>
      </w:r>
    </w:p>
    <w:bookmarkEnd w:id="104"/>
    <w:bookmarkStart w:name="z29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органа контроля и надзора информационной системы, содержащей автоматизированную систему оценки и управления рисками, полугодовые списки проведения профилактического контроля с посещением субъекта (объекта) контроля и надзора в обязательном порядке размещаются на объекте информационно-коммуникационной инфраструктуры "электронного правительства.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21-2 в соответствии с приказом и.о. Министра национальной экономики РК от 24.06.2024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формировании системы оценки рисков для государственных органов, использующих информационные системы, с учетом специфики и конфиденциальности в соответствии с законодательными актами Республики Казахстан, расчет показателя степени риска по субъективным критериям, а также показатели степени риска, в соответствии с которыми субъект контроля и надзора относится к высокой, средней или низкой степеням риска, устанавливаются в критериях оценки степени риска регулирующего государственного органа согласно перечню субъективных критериев для определения степени риска по субъективным критериям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6"/>
    <w:bookmarkStart w:name="z2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Критерии оценки степени риска согласовываются с уполномоченным органом по правовой статистике и специальным учетам на предмет соответствия требованиям информационной системы – единого реестра субъектов и объектов проверок.</w:t>
      </w:r>
    </w:p>
    <w:bookmarkEnd w:id="107"/>
    <w:bookmarkStart w:name="z2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уполномоченным органом по правовой статистике и специальным учетам составляет пять рабочих дней со дня поступления проекта на согласование.</w:t>
      </w:r>
    </w:p>
    <w:bookmarkEnd w:id="108"/>
    <w:bookmarkStart w:name="z23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степени риска по субъективным критериям</w:t>
      </w:r>
    </w:p>
    <w:bookmarkEnd w:id="109"/>
    <w:bookmarkStart w:name="z2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отнесения субъекта контроля и надзора к степени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применяется следующий порядок расчета показателя степени риска.</w:t>
      </w:r>
    </w:p>
    <w:bookmarkEnd w:id="110"/>
    <w:bookmarkStart w:name="z2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 собирает информацию и формирует базу данных по субъективным критериям из источников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1"/>
    <w:bookmarkStart w:name="z2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и надзора (SP) и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(SC), с последующей нормализацией значений данных в диапазон от 0 до 100 баллов.</w:t>
      </w:r>
    </w:p>
    <w:bookmarkEnd w:id="112"/>
    <w:bookmarkStart w:name="z2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113"/>
    <w:bookmarkStart w:name="z2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114"/>
    <w:bookmarkStart w:name="z2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115"/>
    <w:bookmarkStart w:name="z2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SC – показатель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6"/>
    <w:bookmarkStart w:name="z2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и надзора однородной группы субъектов (объектов) контроля и надзора каждой сферы государственного контроля и надзора. При этом перечень оцениваемых субъектов (объектов) контроля и надзора, относимых к однородной группе субъектов (объектов) контроля и надзора одной сферы государственного контроля и надзора, образует выборочную совокупность (выборку) для последующей нормализации данных.</w:t>
      </w:r>
    </w:p>
    <w:bookmarkEnd w:id="117"/>
    <w:bookmarkStart w:name="z2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данным, полученным по результатам предыдущих проверок и профилактического контроля с посещением субъектов (объектов) контроля и надзора, формируется показатель степени риска по нарушениям, оцениваемый в баллах от 0 до 100.</w:t>
      </w:r>
    </w:p>
    <w:bookmarkEnd w:id="118"/>
    <w:bookmarkStart w:name="z2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одного грубого нарушения по любому из источников информации,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субъекту контроля и надзора приравнивается показатель степени риска 100 баллов и в отношении него проводится проверка на соответствие требованиям или профилактический контроль с посещением субъекта (объекта) контроля и надзора.</w:t>
      </w:r>
    </w:p>
    <w:bookmarkEnd w:id="119"/>
    <w:bookmarkStart w:name="z2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120"/>
    <w:bookmarkStart w:name="z2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121"/>
    <w:bookmarkStart w:name="z2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22"/>
    <w:bookmarkStart w:name="z2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123"/>
    <w:bookmarkStart w:name="z2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124"/>
    <w:bookmarkStart w:name="z2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125"/>
    <w:bookmarkStart w:name="z2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126"/>
    <w:bookmarkStart w:name="z2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127"/>
    <w:bookmarkStart w:name="z2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28"/>
    <w:bookmarkStart w:name="z2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(SР2 х 100/SР1) х 0,3, где:</w:t>
      </w:r>
    </w:p>
    <w:bookmarkEnd w:id="129"/>
    <w:bookmarkStart w:name="z2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130"/>
    <w:bookmarkStart w:name="z2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131"/>
    <w:bookmarkStart w:name="z2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132"/>
    <w:bookmarkStart w:name="z2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133"/>
    <w:bookmarkStart w:name="z2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134"/>
    <w:bookmarkStart w:name="z2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35"/>
    <w:bookmarkStart w:name="z2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36"/>
    <w:bookmarkStart w:name="z2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</w:p>
    <w:bookmarkEnd w:id="137"/>
    <w:bookmarkStart w:name="z2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138"/>
    <w:bookmarkStart w:name="z2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Расчет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производится по шкале от 0 до 100 баллов и осуществляется по следующей формуле: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140"/>
    <w:bookmarkStart w:name="z2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41"/>
    <w:bookmarkStart w:name="z2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42"/>
    <w:bookmarkStart w:name="z2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Полученное значение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включается в расчет показателя степени риска по субъективным критериям.</w:t>
      </w:r>
    </w:p>
    <w:bookmarkEnd w:id="143"/>
    <w:bookmarkStart w:name="z2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 и надзора,</w:t>
      </w:r>
    </w:p>
    <w:bookmarkEnd w:id="145"/>
    <w:bookmarkStart w:name="z2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146"/>
    <w:bookmarkStart w:name="z2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147"/>
    <w:bookmarkStart w:name="z2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48"/>
    <w:bookmarkStart w:name="z27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Проверочные листы</w:t>
      </w:r>
    </w:p>
    <w:bookmarkEnd w:id="149"/>
    <w:bookmarkStart w:name="z2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Проверочные листы составляются для однородных групп субъектов (объектов) контроля и надзора и включают требования в соответствии с пунктом 2 статьи 132 Кодекса и с соблюдением условий, определенных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50"/>
    <w:bookmarkStart w:name="z2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Однородные группы разделяются как по видам деятельности, осуществляемым субъектами (объектами) контроля и надзора, так и по форме регистрации (юридические лица, физические лица, индивидуальные предприниматели).</w:t>
      </w:r>
    </w:p>
    <w:bookmarkEnd w:id="151"/>
    <w:bookmarkStart w:name="z2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Проверочные листы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52"/>
    <w:bookmarkStart w:name="z2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сфер деятельности субъектов (объектов) контроля и надзора, отнесенных к высокой степени риска, кратность проведения проверки на соответствие требованиям определяется критериями оценки степени риска, но не чаще одного раза в год.</w:t>
      </w:r>
    </w:p>
    <w:bookmarkEnd w:id="153"/>
    <w:bookmarkStart w:name="z2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проверок на соответствие требованиям в отношении объектов контроля и надзора высокой эпидемической значимости в сфере санитарно-эпидемиологического благополучия населения определяется не чаще одного раза в полгода.</w:t>
      </w:r>
    </w:p>
    <w:bookmarkEnd w:id="154"/>
    <w:bookmarkStart w:name="z2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 и надзора, отнесенных к средней степени риска, кратность проведения проверок на соответствие требованиям определяется критериями оценки степени риска, но не чаще одного раза в два года.</w:t>
      </w:r>
    </w:p>
    <w:bookmarkEnd w:id="155"/>
    <w:bookmarkStart w:name="z2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 и надзора, отнесенных к низкой степени риска, кратность проведения проверок на соответствие требованиям определяется критериями оценки степени риска, но не чаще одного раза в три года.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регулирующими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оценки степени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риска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8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сфере/в области/за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138 и 139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Предпринимательского кодекса Республики Казахстан в отношении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однородной группы субъектов (объектов)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Удельный вес по значимости, балл (в сумме не должен превышать 100 баллов),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  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4/значение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n.../значение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информации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n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информации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требованиям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информации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n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информации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по заполнению шаблона:</w:t>
      </w:r>
    </w:p>
    <w:bookmarkEnd w:id="158"/>
    <w:bookmarkStart w:name="z2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Показатели субъективных критериев определяются для однородных групп субъектов (объектов) контроля и надзора в каждой сфере государственного контроля и надзора.</w:t>
      </w:r>
    </w:p>
    <w:bookmarkEnd w:id="159"/>
    <w:bookmarkStart w:name="z2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показатель субъективного критерия.</w:t>
      </w:r>
    </w:p>
    <w:bookmarkEnd w:id="160"/>
    <w:bookmarkStart w:name="z2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указываются приоритетные источники информации.</w:t>
      </w:r>
    </w:p>
    <w:bookmarkEnd w:id="161"/>
    <w:bookmarkStart w:name="z2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указывается удельный вес по значимости показателя субъективного критерия в баллах. Сумма всех строк по данной графе не должно превышать 100 баллов. </w:t>
      </w:r>
    </w:p>
    <w:bookmarkEnd w:id="162"/>
    <w:bookmarkStart w:name="z2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графе 5 указываются условия учета показателя субъективного критерия в расчете степени риска по субъективным критериям и числовые значения показателей субъективных критериев, соответствующие каждому условию. Числовые значения указываются в процентах от 0 до 100, в зависимости от повышения риска. Допустимые значения показателей субъективных критериев регламентируются нормативными правовыми актами Республики Казахстан.       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2018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164"/>
    <w:p>
      <w:pPr>
        <w:spacing w:after="0"/>
        <w:ind w:left="0"/>
        <w:jc w:val="both"/>
      </w:pPr>
      <w:bookmarkStart w:name="z137" w:id="165"/>
      <w:r>
        <w:rPr>
          <w:rFonts w:ascii="Times New Roman"/>
          <w:b w:val="false"/>
          <w:i w:val="false"/>
          <w:color w:val="000000"/>
          <w:sz w:val="28"/>
        </w:rPr>
        <w:t>
      в сфере/в области/за ______________________________________________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 соответствии со статьями 138 и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отношении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однородной группы субъектов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орган, назначивший проверку/профилактического контроля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посещением субъекта (объекта) контроля и надзора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проверки/профилактического контроля с посещением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(объекта) контроля и надзора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(объекта) контроля и надзора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номер), 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субъекта (объекта) контроля и надзора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8" w:id="166"/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(ые) лицо (а) _________________________________ ____________ 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контроля и надзора ___________________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должность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