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ab75" w14:textId="e19a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проведения анализа суммарной экологической пользы</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27 мая 2022 года № 191. Зарегистрирован в Министерстве юстиции Республики Казахстан 31 мая 2022 года № 28280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8 статьи 398 Экологического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проведения анализа суммарной экологической пользы.</w:t>
      </w:r>
    </w:p>
    <w:bookmarkEnd w:id="1"/>
    <w:bookmarkStart w:name="z6" w:id="2"/>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Акимат Атырауской области</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Акимат Мангистауской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2022 года № 191</w:t>
            </w:r>
          </w:p>
        </w:tc>
      </w:tr>
    </w:tbl>
    <w:bookmarkStart w:name="z21" w:id="15"/>
    <w:p>
      <w:pPr>
        <w:spacing w:after="0"/>
        <w:ind w:left="0"/>
        <w:jc w:val="left"/>
      </w:pPr>
      <w:r>
        <w:rPr>
          <w:rFonts w:ascii="Times New Roman"/>
          <w:b/>
          <w:i w:val="false"/>
          <w:color w:val="000000"/>
        </w:rPr>
        <w:t xml:space="preserve"> Методика проведения анализа суммарной экологической пользы</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xml:space="preserve">
      1. Настоящая Методика проведения анализа суммарной экологической пользы (далее – Методика) разработана в соответствии </w:t>
      </w:r>
      <w:r>
        <w:rPr>
          <w:rFonts w:ascii="Times New Roman"/>
          <w:b w:val="false"/>
          <w:i w:val="false"/>
          <w:color w:val="000000"/>
          <w:sz w:val="28"/>
        </w:rPr>
        <w:t>подпунктом 2)</w:t>
      </w:r>
      <w:r>
        <w:rPr>
          <w:rFonts w:ascii="Times New Roman"/>
          <w:b w:val="false"/>
          <w:i w:val="false"/>
          <w:color w:val="000000"/>
          <w:sz w:val="28"/>
        </w:rPr>
        <w:t xml:space="preserve"> пункта 8 статьи 398 Экологического кодекса Республики Казахстан (далее – Кодекс) и определяет порядок проведения анализа суммарной экологической пользы.</w:t>
      </w:r>
    </w:p>
    <w:bookmarkEnd w:id="17"/>
    <w:bookmarkStart w:name="z24" w:id="18"/>
    <w:p>
      <w:pPr>
        <w:spacing w:after="0"/>
        <w:ind w:left="0"/>
        <w:jc w:val="both"/>
      </w:pPr>
      <w:r>
        <w:rPr>
          <w:rFonts w:ascii="Times New Roman"/>
          <w:b w:val="false"/>
          <w:i w:val="false"/>
          <w:color w:val="000000"/>
          <w:sz w:val="28"/>
        </w:rPr>
        <w:t xml:space="preserve">
      2. Анализ суммарной экологической пользы (далее – АСЭП) представляет собой подход к отбору оптимальных методов ликвидации разливов нефти, направленный на максимальную защиту здоровья людей и охрану окружающей среды согласно </w:t>
      </w:r>
      <w:r>
        <w:rPr>
          <w:rFonts w:ascii="Times New Roman"/>
          <w:b w:val="false"/>
          <w:i w:val="false"/>
          <w:color w:val="000000"/>
          <w:sz w:val="28"/>
        </w:rPr>
        <w:t>пункта 7</w:t>
      </w:r>
      <w:r>
        <w:rPr>
          <w:rFonts w:ascii="Times New Roman"/>
          <w:b w:val="false"/>
          <w:i w:val="false"/>
          <w:color w:val="000000"/>
          <w:sz w:val="28"/>
        </w:rPr>
        <w:t xml:space="preserve"> статьи 398 Кодекса.</w:t>
      </w:r>
    </w:p>
    <w:bookmarkEnd w:id="18"/>
    <w:bookmarkStart w:name="z25" w:id="19"/>
    <w:p>
      <w:pPr>
        <w:spacing w:after="0"/>
        <w:ind w:left="0"/>
        <w:jc w:val="both"/>
      </w:pPr>
      <w:r>
        <w:rPr>
          <w:rFonts w:ascii="Times New Roman"/>
          <w:b w:val="false"/>
          <w:i w:val="false"/>
          <w:color w:val="000000"/>
          <w:sz w:val="28"/>
        </w:rPr>
        <w:t>
      3. Процесс АСЭП включает следующие этапы:</w:t>
      </w:r>
    </w:p>
    <w:bookmarkEnd w:id="19"/>
    <w:bookmarkStart w:name="z26" w:id="20"/>
    <w:p>
      <w:pPr>
        <w:spacing w:after="0"/>
        <w:ind w:left="0"/>
        <w:jc w:val="both"/>
      </w:pPr>
      <w:r>
        <w:rPr>
          <w:rFonts w:ascii="Times New Roman"/>
          <w:b w:val="false"/>
          <w:i w:val="false"/>
          <w:color w:val="000000"/>
          <w:sz w:val="28"/>
        </w:rPr>
        <w:t>
      1) сбор и оценка информации;</w:t>
      </w:r>
    </w:p>
    <w:bookmarkEnd w:id="20"/>
    <w:bookmarkStart w:name="z27" w:id="21"/>
    <w:p>
      <w:pPr>
        <w:spacing w:after="0"/>
        <w:ind w:left="0"/>
        <w:jc w:val="both"/>
      </w:pPr>
      <w:r>
        <w:rPr>
          <w:rFonts w:ascii="Times New Roman"/>
          <w:b w:val="false"/>
          <w:i w:val="false"/>
          <w:color w:val="000000"/>
          <w:sz w:val="28"/>
        </w:rPr>
        <w:t>
      2) прогнозирование последствий;</w:t>
      </w:r>
    </w:p>
    <w:bookmarkEnd w:id="21"/>
    <w:bookmarkStart w:name="z28" w:id="22"/>
    <w:p>
      <w:pPr>
        <w:spacing w:after="0"/>
        <w:ind w:left="0"/>
        <w:jc w:val="both"/>
      </w:pPr>
      <w:r>
        <w:rPr>
          <w:rFonts w:ascii="Times New Roman"/>
          <w:b w:val="false"/>
          <w:i w:val="false"/>
          <w:color w:val="000000"/>
          <w:sz w:val="28"/>
        </w:rPr>
        <w:t>
      3) поиск компромиссных решений;</w:t>
      </w:r>
    </w:p>
    <w:bookmarkEnd w:id="22"/>
    <w:bookmarkStart w:name="z29" w:id="23"/>
    <w:p>
      <w:pPr>
        <w:spacing w:after="0"/>
        <w:ind w:left="0"/>
        <w:jc w:val="both"/>
      </w:pPr>
      <w:r>
        <w:rPr>
          <w:rFonts w:ascii="Times New Roman"/>
          <w:b w:val="false"/>
          <w:i w:val="false"/>
          <w:color w:val="000000"/>
          <w:sz w:val="28"/>
        </w:rPr>
        <w:t>
      4) выбор оптимальных методов.</w:t>
      </w:r>
    </w:p>
    <w:bookmarkEnd w:id="23"/>
    <w:bookmarkStart w:name="z30" w:id="24"/>
    <w:p>
      <w:pPr>
        <w:spacing w:after="0"/>
        <w:ind w:left="0"/>
        <w:jc w:val="left"/>
      </w:pPr>
      <w:r>
        <w:rPr>
          <w:rFonts w:ascii="Times New Roman"/>
          <w:b/>
          <w:i w:val="false"/>
          <w:color w:val="000000"/>
        </w:rPr>
        <w:t xml:space="preserve"> Глава 2. Этапы проведения анализа суммарной экологической пользы</w:t>
      </w:r>
    </w:p>
    <w:bookmarkEnd w:id="24"/>
    <w:bookmarkStart w:name="z31" w:id="25"/>
    <w:p>
      <w:pPr>
        <w:spacing w:after="0"/>
        <w:ind w:left="0"/>
        <w:jc w:val="left"/>
      </w:pPr>
      <w:r>
        <w:rPr>
          <w:rFonts w:ascii="Times New Roman"/>
          <w:b/>
          <w:i w:val="false"/>
          <w:color w:val="000000"/>
        </w:rPr>
        <w:t xml:space="preserve"> Параграф 1. Сбор и оценка информации</w:t>
      </w:r>
    </w:p>
    <w:bookmarkEnd w:id="25"/>
    <w:bookmarkStart w:name="z32" w:id="26"/>
    <w:p>
      <w:pPr>
        <w:spacing w:after="0"/>
        <w:ind w:left="0"/>
        <w:jc w:val="both"/>
      </w:pPr>
      <w:r>
        <w:rPr>
          <w:rFonts w:ascii="Times New Roman"/>
          <w:b w:val="false"/>
          <w:i w:val="false"/>
          <w:color w:val="000000"/>
          <w:sz w:val="28"/>
        </w:rPr>
        <w:t>
      4. На этапе сбора и оценки информации требуется осуществить следующее:</w:t>
      </w:r>
    </w:p>
    <w:bookmarkEnd w:id="26"/>
    <w:bookmarkStart w:name="z33" w:id="27"/>
    <w:p>
      <w:pPr>
        <w:spacing w:after="0"/>
        <w:ind w:left="0"/>
        <w:jc w:val="both"/>
      </w:pPr>
      <w:r>
        <w:rPr>
          <w:rFonts w:ascii="Times New Roman"/>
          <w:b w:val="false"/>
          <w:i w:val="false"/>
          <w:color w:val="000000"/>
          <w:sz w:val="28"/>
        </w:rPr>
        <w:t>
      1) определение сценария разлива, исходя из которых выявляется следующая информация: об инциденте или аварии, о поведении и движении нефти, об определении ресурсов, подверженных риску;</w:t>
      </w:r>
    </w:p>
    <w:bookmarkEnd w:id="27"/>
    <w:bookmarkStart w:name="z34" w:id="28"/>
    <w:p>
      <w:pPr>
        <w:spacing w:after="0"/>
        <w:ind w:left="0"/>
        <w:jc w:val="both"/>
      </w:pPr>
      <w:r>
        <w:rPr>
          <w:rFonts w:ascii="Times New Roman"/>
          <w:b w:val="false"/>
          <w:i w:val="false"/>
          <w:color w:val="000000"/>
          <w:sz w:val="28"/>
        </w:rPr>
        <w:t xml:space="preserve">
      2) определение возможных методов ликвидации разливов нефти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398 Кодекса.</w:t>
      </w:r>
    </w:p>
    <w:bookmarkEnd w:id="28"/>
    <w:bookmarkStart w:name="z35" w:id="29"/>
    <w:p>
      <w:pPr>
        <w:spacing w:after="0"/>
        <w:ind w:left="0"/>
        <w:jc w:val="both"/>
      </w:pPr>
      <w:r>
        <w:rPr>
          <w:rFonts w:ascii="Times New Roman"/>
          <w:b w:val="false"/>
          <w:i w:val="false"/>
          <w:color w:val="000000"/>
          <w:sz w:val="28"/>
        </w:rPr>
        <w:t xml:space="preserve">
      5. В соответствии с уровневым подходом к обеспечению готовности и реагированию на разливы нефти определяются сценарии возможных рисков разлива нефти, а также связанные с ними сложности реагирования и ликвидации, согласно пункту 5 Национального плана обеспечения готовности и действий к ликвидации разливов нефти на море, внутренних водоемах и в предохранительной зоне Республики Казахстан, утвержденного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15 мая 2018 года №182, Министра по инвестициям и развитию Республики Казахстан от 24 мая 2018 года № 376 и Министра внутренних дел Республики Казахстан от 19 мая 2018 года № 374 (зарегистрирован в Реестре государственной регистрации нормативных правовых актов за № 17128) (далее – Национальный план).</w:t>
      </w:r>
    </w:p>
    <w:bookmarkEnd w:id="29"/>
    <w:bookmarkStart w:name="z36" w:id="30"/>
    <w:p>
      <w:pPr>
        <w:spacing w:after="0"/>
        <w:ind w:left="0"/>
        <w:jc w:val="both"/>
      </w:pPr>
      <w:r>
        <w:rPr>
          <w:rFonts w:ascii="Times New Roman"/>
          <w:b w:val="false"/>
          <w:i w:val="false"/>
          <w:color w:val="000000"/>
          <w:sz w:val="28"/>
        </w:rPr>
        <w:t>
      Для целей АСЭП рассматриваются наихудшие сценарии из вероятных случаев разлива нефти.</w:t>
      </w:r>
    </w:p>
    <w:bookmarkEnd w:id="30"/>
    <w:bookmarkStart w:name="z37" w:id="31"/>
    <w:p>
      <w:pPr>
        <w:spacing w:after="0"/>
        <w:ind w:left="0"/>
        <w:jc w:val="both"/>
      </w:pPr>
      <w:r>
        <w:rPr>
          <w:rFonts w:ascii="Times New Roman"/>
          <w:b w:val="false"/>
          <w:i w:val="false"/>
          <w:color w:val="000000"/>
          <w:sz w:val="28"/>
        </w:rPr>
        <w:t>
      6. По каждому предполагаемому сценарию определяется следующая информация об инциденте или аварии:</w:t>
      </w:r>
    </w:p>
    <w:bookmarkEnd w:id="31"/>
    <w:bookmarkStart w:name="z38" w:id="32"/>
    <w:p>
      <w:pPr>
        <w:spacing w:after="0"/>
        <w:ind w:left="0"/>
        <w:jc w:val="both"/>
      </w:pPr>
      <w:r>
        <w:rPr>
          <w:rFonts w:ascii="Times New Roman"/>
          <w:b w:val="false"/>
          <w:i w:val="false"/>
          <w:color w:val="000000"/>
          <w:sz w:val="28"/>
        </w:rPr>
        <w:t>
      1) местоположение;</w:t>
      </w:r>
    </w:p>
    <w:bookmarkEnd w:id="32"/>
    <w:bookmarkStart w:name="z39" w:id="33"/>
    <w:p>
      <w:pPr>
        <w:spacing w:after="0"/>
        <w:ind w:left="0"/>
        <w:jc w:val="both"/>
      </w:pPr>
      <w:r>
        <w:rPr>
          <w:rFonts w:ascii="Times New Roman"/>
          <w:b w:val="false"/>
          <w:i w:val="false"/>
          <w:color w:val="000000"/>
          <w:sz w:val="28"/>
        </w:rPr>
        <w:t>
      2) тип и свойства нефти;</w:t>
      </w:r>
    </w:p>
    <w:bookmarkEnd w:id="33"/>
    <w:bookmarkStart w:name="z40" w:id="34"/>
    <w:p>
      <w:pPr>
        <w:spacing w:after="0"/>
        <w:ind w:left="0"/>
        <w:jc w:val="both"/>
      </w:pPr>
      <w:r>
        <w:rPr>
          <w:rFonts w:ascii="Times New Roman"/>
          <w:b w:val="false"/>
          <w:i w:val="false"/>
          <w:color w:val="000000"/>
          <w:sz w:val="28"/>
        </w:rPr>
        <w:t>
      3) объем разлива;</w:t>
      </w:r>
    </w:p>
    <w:bookmarkEnd w:id="34"/>
    <w:bookmarkStart w:name="z41" w:id="35"/>
    <w:p>
      <w:pPr>
        <w:spacing w:after="0"/>
        <w:ind w:left="0"/>
        <w:jc w:val="both"/>
      </w:pPr>
      <w:r>
        <w:rPr>
          <w:rFonts w:ascii="Times New Roman"/>
          <w:b w:val="false"/>
          <w:i w:val="false"/>
          <w:color w:val="000000"/>
          <w:sz w:val="28"/>
        </w:rPr>
        <w:t>
      4) продолжительность разлива, преобладающие гидродинамические и метеорологические условия, время года.</w:t>
      </w:r>
    </w:p>
    <w:bookmarkEnd w:id="35"/>
    <w:bookmarkStart w:name="z42" w:id="36"/>
    <w:p>
      <w:pPr>
        <w:spacing w:after="0"/>
        <w:ind w:left="0"/>
        <w:jc w:val="both"/>
      </w:pPr>
      <w:r>
        <w:rPr>
          <w:rFonts w:ascii="Times New Roman"/>
          <w:b w:val="false"/>
          <w:i w:val="false"/>
          <w:color w:val="000000"/>
          <w:sz w:val="28"/>
        </w:rPr>
        <w:t>
      7. Поведение и движение нефти определяется с помощью моделирования. Моделирование поведения и траектории движения разлива нефти основывается на следующих базовых параметрах:</w:t>
      </w:r>
    </w:p>
    <w:bookmarkEnd w:id="36"/>
    <w:bookmarkStart w:name="z43" w:id="37"/>
    <w:p>
      <w:pPr>
        <w:spacing w:after="0"/>
        <w:ind w:left="0"/>
        <w:jc w:val="both"/>
      </w:pPr>
      <w:r>
        <w:rPr>
          <w:rFonts w:ascii="Times New Roman"/>
          <w:b w:val="false"/>
          <w:i w:val="false"/>
          <w:color w:val="000000"/>
          <w:sz w:val="28"/>
        </w:rPr>
        <w:t>
      1) определение географической зоны, которая подвергается воздействию нефти. В каждом из выбранных сценариев закладываются параметры в соответствии с пунктом6 настоящей Методики;</w:t>
      </w:r>
    </w:p>
    <w:bookmarkEnd w:id="37"/>
    <w:bookmarkStart w:name="z44" w:id="38"/>
    <w:p>
      <w:pPr>
        <w:spacing w:after="0"/>
        <w:ind w:left="0"/>
        <w:jc w:val="both"/>
      </w:pPr>
      <w:r>
        <w:rPr>
          <w:rFonts w:ascii="Times New Roman"/>
          <w:b w:val="false"/>
          <w:i w:val="false"/>
          <w:color w:val="000000"/>
          <w:sz w:val="28"/>
        </w:rPr>
        <w:t xml:space="preserve">
      2) метода наблюдения и оценки, в соответствии с подпунктом 1) пункта 4 Правил определения, согласования и принятия решения о выборе оптимальных методов ликвидации разливов нефти на море, внутренних водоемах и в предохранительной зоне Республики Казахстан на основе анализа суммарной экологической пользы,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2 сентября 2021 года № 353 (зарегистрирован в Реестре государственной регистрации нормативных правовых актов за № 24232).</w:t>
      </w:r>
    </w:p>
    <w:bookmarkEnd w:id="38"/>
    <w:bookmarkStart w:name="z45" w:id="39"/>
    <w:p>
      <w:pPr>
        <w:spacing w:after="0"/>
        <w:ind w:left="0"/>
        <w:jc w:val="both"/>
      </w:pPr>
      <w:r>
        <w:rPr>
          <w:rFonts w:ascii="Times New Roman"/>
          <w:b w:val="false"/>
          <w:i w:val="false"/>
          <w:color w:val="000000"/>
          <w:sz w:val="28"/>
        </w:rPr>
        <w:t>
      8. Проводится стохастическое (или вероятностное) и детерминированное моделирование поведения и траектории движения разлива нефти.</w:t>
      </w:r>
    </w:p>
    <w:bookmarkEnd w:id="39"/>
    <w:bookmarkStart w:name="z46" w:id="40"/>
    <w:p>
      <w:pPr>
        <w:spacing w:after="0"/>
        <w:ind w:left="0"/>
        <w:jc w:val="both"/>
      </w:pPr>
      <w:r>
        <w:rPr>
          <w:rFonts w:ascii="Times New Roman"/>
          <w:b w:val="false"/>
          <w:i w:val="false"/>
          <w:color w:val="000000"/>
          <w:sz w:val="28"/>
        </w:rPr>
        <w:t>
      Стохастическое моделирование, охватывающее данные гидродинамики и историю метеорологических наблюдений для прогнозирования загрязнения определенных зон, а также определяющее предохранительные (прибрежные) зоны с наибольшей вероятностью загрязнения значительными объемами нефти.</w:t>
      </w:r>
    </w:p>
    <w:bookmarkEnd w:id="40"/>
    <w:bookmarkStart w:name="z47" w:id="41"/>
    <w:p>
      <w:pPr>
        <w:spacing w:after="0"/>
        <w:ind w:left="0"/>
        <w:jc w:val="both"/>
      </w:pPr>
      <w:r>
        <w:rPr>
          <w:rFonts w:ascii="Times New Roman"/>
          <w:b w:val="false"/>
          <w:i w:val="false"/>
          <w:color w:val="000000"/>
          <w:sz w:val="28"/>
        </w:rPr>
        <w:t>
      9. Детерминированное моделирование определяет траекторию движения плавающей нефти, ее толщину, концентрацию нефти в воде и (или) нефтяного загрязнения береговой линии (время достижения береговой линии и масштабы загрязнения) для определенного сценария разлива в рамках заданных условий. Данное моделирование дополняет результаты стохастического моделирования АСЭП или использоваться для прогнозирования в ходе реагирования на инцидент.</w:t>
      </w:r>
    </w:p>
    <w:bookmarkEnd w:id="41"/>
    <w:bookmarkStart w:name="z48" w:id="42"/>
    <w:p>
      <w:pPr>
        <w:spacing w:after="0"/>
        <w:ind w:left="0"/>
        <w:jc w:val="both"/>
      </w:pPr>
      <w:r>
        <w:rPr>
          <w:rFonts w:ascii="Times New Roman"/>
          <w:b w:val="false"/>
          <w:i w:val="false"/>
          <w:color w:val="000000"/>
          <w:sz w:val="28"/>
        </w:rPr>
        <w:t>
      10. Определение ресурсов, подверженных риску – предусматривает сбор информации об экологических, социально-экономических и культурных ресурсах, которые попадают под воздействие разливов нефти.</w:t>
      </w:r>
    </w:p>
    <w:bookmarkEnd w:id="42"/>
    <w:bookmarkStart w:name="z49" w:id="43"/>
    <w:p>
      <w:pPr>
        <w:spacing w:after="0"/>
        <w:ind w:left="0"/>
        <w:jc w:val="both"/>
      </w:pPr>
      <w:r>
        <w:rPr>
          <w:rFonts w:ascii="Times New Roman"/>
          <w:b w:val="false"/>
          <w:i w:val="false"/>
          <w:color w:val="000000"/>
          <w:sz w:val="28"/>
        </w:rPr>
        <w:t>
      11. Для АСЭП имеют значение ресурсы, чувствительные к разливам нефти и имеющие ценность для местного населения. Степень чувствительности различается для каждой местности и времени года.</w:t>
      </w:r>
    </w:p>
    <w:bookmarkEnd w:id="43"/>
    <w:bookmarkStart w:name="z50" w:id="44"/>
    <w:p>
      <w:pPr>
        <w:spacing w:after="0"/>
        <w:ind w:left="0"/>
        <w:jc w:val="both"/>
      </w:pPr>
      <w:r>
        <w:rPr>
          <w:rFonts w:ascii="Times New Roman"/>
          <w:b w:val="false"/>
          <w:i w:val="false"/>
          <w:color w:val="000000"/>
          <w:sz w:val="28"/>
        </w:rPr>
        <w:t xml:space="preserve">
      Для каждого сценария определяются места и ресурсы, подверженные риску воздействия или чувствительные к воздействию разливов нефти, посредством моделирования траектории движения нефтяного разлива в сочетании с информацией о чувствительных ресурсах согласно Правил разработки карты экологической чувствительности и принятия решения по определению индекса чувствительности для ликвидации разлива нефти на море, внутренних водоемах и в предохранительной зоне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24 июня 2021 года № 210 (зарегистрирован в Реестре государственной регистрации нормативных правовых актов за № 23246) (далее – Правила).</w:t>
      </w:r>
    </w:p>
    <w:bookmarkEnd w:id="44"/>
    <w:bookmarkStart w:name="z51" w:id="45"/>
    <w:p>
      <w:pPr>
        <w:spacing w:after="0"/>
        <w:ind w:left="0"/>
        <w:jc w:val="both"/>
      </w:pPr>
      <w:r>
        <w:rPr>
          <w:rFonts w:ascii="Times New Roman"/>
          <w:b w:val="false"/>
          <w:i w:val="false"/>
          <w:color w:val="000000"/>
          <w:sz w:val="28"/>
        </w:rPr>
        <w:t>
      Источником информации о чувствительных ресурсах и их расположении является Карта экологической чувствительности для ликвидации разливов нефти на море, внутренних водоемах и в предохранительной зоне Республики Казахстан.</w:t>
      </w:r>
    </w:p>
    <w:bookmarkEnd w:id="45"/>
    <w:bookmarkStart w:name="z52" w:id="46"/>
    <w:p>
      <w:pPr>
        <w:spacing w:after="0"/>
        <w:ind w:left="0"/>
        <w:jc w:val="both"/>
      </w:pPr>
      <w:r>
        <w:rPr>
          <w:rFonts w:ascii="Times New Roman"/>
          <w:b w:val="false"/>
          <w:i w:val="false"/>
          <w:color w:val="000000"/>
          <w:sz w:val="28"/>
        </w:rPr>
        <w:t>
      При отсутствии утвержденной Карты экологической чувствительности для ликвидации разливов нефти на море, внутренних водоемах и в предохранительной зоне Республики Казахстан источником информации служат научные исследования и отчеты, данные соответствующих уполномоченных органов, определенных пунктом 12 Правил, а также сведения из оценок воздействия на окружающую среду.</w:t>
      </w:r>
    </w:p>
    <w:bookmarkEnd w:id="46"/>
    <w:bookmarkStart w:name="z53" w:id="47"/>
    <w:p>
      <w:pPr>
        <w:spacing w:after="0"/>
        <w:ind w:left="0"/>
        <w:jc w:val="both"/>
      </w:pPr>
      <w:r>
        <w:rPr>
          <w:rFonts w:ascii="Times New Roman"/>
          <w:b w:val="false"/>
          <w:i w:val="false"/>
          <w:color w:val="000000"/>
          <w:sz w:val="28"/>
        </w:rPr>
        <w:t>
      12. Экологические ресурсы оцениваются на уровне среды обитания в целом (не на уровне отдельных видов), социально-экономические и культурные ресурсы оцениваются как обобщенные группы и не анализируются по отдельным компонентам как пляж или зона отдыха.</w:t>
      </w:r>
    </w:p>
    <w:bookmarkEnd w:id="47"/>
    <w:bookmarkStart w:name="z54" w:id="48"/>
    <w:p>
      <w:pPr>
        <w:spacing w:after="0"/>
        <w:ind w:left="0"/>
        <w:jc w:val="both"/>
      </w:pPr>
      <w:r>
        <w:rPr>
          <w:rFonts w:ascii="Times New Roman"/>
          <w:b w:val="false"/>
          <w:i w:val="false"/>
          <w:color w:val="000000"/>
          <w:sz w:val="28"/>
        </w:rPr>
        <w:t>
      При наличии риска загрязнения ресурсов, находящихся под особой защитой или имеющих высокое экологическое значение или ценность для населения, оцениваются как группа высокоценных ресурсов.</w:t>
      </w:r>
    </w:p>
    <w:bookmarkEnd w:id="48"/>
    <w:bookmarkStart w:name="z55" w:id="49"/>
    <w:p>
      <w:pPr>
        <w:spacing w:after="0"/>
        <w:ind w:left="0"/>
        <w:jc w:val="both"/>
      </w:pPr>
      <w:r>
        <w:rPr>
          <w:rFonts w:ascii="Times New Roman"/>
          <w:b w:val="false"/>
          <w:i w:val="false"/>
          <w:color w:val="000000"/>
          <w:sz w:val="28"/>
        </w:rPr>
        <w:t>
      13. Ресурсными группами являются: морское дно, поверхность воды, нижняя толща воды, верхняя толща воды, воздух, береговые линии, высокоценные ресурсы, ресурсы социально-экономического значения, культурная сфера. Ресурсные группы определяются исходя от условий конкретного сценария. В сложных сценариях требуется больший уровень детализации ресурсных групп. При влиянии детализации на результаты АСЭП и выработку методов ликвидации разливов нефти, конкретные ресурсы рассматриваются по отдельности как элемент определҰнной ресурсной группы.</w:t>
      </w:r>
    </w:p>
    <w:bookmarkEnd w:id="49"/>
    <w:bookmarkStart w:name="z56" w:id="50"/>
    <w:p>
      <w:pPr>
        <w:spacing w:after="0"/>
        <w:ind w:left="0"/>
        <w:jc w:val="both"/>
      </w:pPr>
      <w:r>
        <w:rPr>
          <w:rFonts w:ascii="Times New Roman"/>
          <w:b w:val="false"/>
          <w:i w:val="false"/>
          <w:color w:val="000000"/>
          <w:sz w:val="28"/>
        </w:rPr>
        <w:t xml:space="preserve">
      Выявленные и подтверждҰнные ресурсные группы вносятся в Матрицу оценки смягчения последствий разливов нефти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Методики (далее – Матрица).</w:t>
      </w:r>
    </w:p>
    <w:bookmarkEnd w:id="50"/>
    <w:bookmarkStart w:name="z57" w:id="51"/>
    <w:p>
      <w:pPr>
        <w:spacing w:after="0"/>
        <w:ind w:left="0"/>
        <w:jc w:val="both"/>
      </w:pPr>
      <w:r>
        <w:rPr>
          <w:rFonts w:ascii="Times New Roman"/>
          <w:b w:val="false"/>
          <w:i w:val="false"/>
          <w:color w:val="000000"/>
          <w:sz w:val="28"/>
        </w:rPr>
        <w:t xml:space="preserve">
      14. Определить методы ликвидации разливов нефти необходимо из методов, в соответствии с </w:t>
      </w:r>
      <w:r>
        <w:rPr>
          <w:rFonts w:ascii="Times New Roman"/>
          <w:b w:val="false"/>
          <w:i w:val="false"/>
          <w:color w:val="000000"/>
          <w:sz w:val="28"/>
        </w:rPr>
        <w:t>пунктом 64</w:t>
      </w:r>
      <w:r>
        <w:rPr>
          <w:rFonts w:ascii="Times New Roman"/>
          <w:b w:val="false"/>
          <w:i w:val="false"/>
          <w:color w:val="000000"/>
          <w:sz w:val="28"/>
        </w:rPr>
        <w:t xml:space="preserve"> Национального плана.</w:t>
      </w:r>
    </w:p>
    <w:bookmarkEnd w:id="51"/>
    <w:bookmarkStart w:name="z58" w:id="52"/>
    <w:p>
      <w:pPr>
        <w:spacing w:after="0"/>
        <w:ind w:left="0"/>
        <w:jc w:val="both"/>
      </w:pPr>
      <w:r>
        <w:rPr>
          <w:rFonts w:ascii="Times New Roman"/>
          <w:b w:val="false"/>
          <w:i w:val="false"/>
          <w:color w:val="000000"/>
          <w:sz w:val="28"/>
        </w:rPr>
        <w:t>
      15. Для каждого сценария готовится список осуществимых методов ликвидации разливов нефти, отобранных из обстоятельств инцидента (тип нефти, объем и свойства, преобладающие ветра и условия волнения, возможности логистического обеспечения). Данные методы включаются в Матрицу.</w:t>
      </w:r>
    </w:p>
    <w:bookmarkEnd w:id="52"/>
    <w:bookmarkStart w:name="z59" w:id="53"/>
    <w:p>
      <w:pPr>
        <w:spacing w:after="0"/>
        <w:ind w:left="0"/>
        <w:jc w:val="both"/>
      </w:pPr>
      <w:r>
        <w:rPr>
          <w:rFonts w:ascii="Times New Roman"/>
          <w:b w:val="false"/>
          <w:i w:val="false"/>
          <w:color w:val="000000"/>
          <w:sz w:val="28"/>
        </w:rPr>
        <w:t>
      16. Для ликвидации нефтяного загрязнения в предохранительной зоне или ее защиты, разрабатывается отдельная Матрица. Для этой цели в Матрице уточняются и предусматриваются оптимальные способы по очистке и защите береговой линии.</w:t>
      </w:r>
    </w:p>
    <w:bookmarkEnd w:id="53"/>
    <w:bookmarkStart w:name="z60" w:id="54"/>
    <w:p>
      <w:pPr>
        <w:spacing w:after="0"/>
        <w:ind w:left="0"/>
        <w:jc w:val="left"/>
      </w:pPr>
      <w:r>
        <w:rPr>
          <w:rFonts w:ascii="Times New Roman"/>
          <w:b/>
          <w:i w:val="false"/>
          <w:color w:val="000000"/>
        </w:rPr>
        <w:t xml:space="preserve"> Параграф 2. Прогнозирование последствий</w:t>
      </w:r>
    </w:p>
    <w:bookmarkEnd w:id="54"/>
    <w:bookmarkStart w:name="z61" w:id="55"/>
    <w:p>
      <w:pPr>
        <w:spacing w:after="0"/>
        <w:ind w:left="0"/>
        <w:jc w:val="both"/>
      </w:pPr>
      <w:r>
        <w:rPr>
          <w:rFonts w:ascii="Times New Roman"/>
          <w:b w:val="false"/>
          <w:i w:val="false"/>
          <w:color w:val="000000"/>
          <w:sz w:val="28"/>
        </w:rPr>
        <w:t>
      17. Матрица с данными о ресурсных группах и методах, выработанных при этапе "Сбор и оценка информации", предусмотрена на этапе "Прогнозирование последствий".</w:t>
      </w:r>
    </w:p>
    <w:bookmarkEnd w:id="55"/>
    <w:bookmarkStart w:name="z62" w:id="56"/>
    <w:p>
      <w:pPr>
        <w:spacing w:after="0"/>
        <w:ind w:left="0"/>
        <w:jc w:val="both"/>
      </w:pPr>
      <w:r>
        <w:rPr>
          <w:rFonts w:ascii="Times New Roman"/>
          <w:b w:val="false"/>
          <w:i w:val="false"/>
          <w:color w:val="000000"/>
          <w:sz w:val="28"/>
        </w:rPr>
        <w:t>
      18. Прогнозирование последствий заключается в оценке относительного воздействия на ресурсы, подверженные риску, по каждому сценарию. Сначала проводится оценка относительного воздействия на ресурсы, подверженные риску при методе ликвидации разлива нефти "оценка и наблюдение", подразумевающий невмешательство. После оцениваются практически осуществимые методы ликвидации разлива нефти на предмет их способности смягчать, усугублять или не изменять последствия метода оценка и наблюдение (невмешательства).</w:t>
      </w:r>
    </w:p>
    <w:bookmarkEnd w:id="56"/>
    <w:bookmarkStart w:name="z63" w:id="57"/>
    <w:p>
      <w:pPr>
        <w:spacing w:after="0"/>
        <w:ind w:left="0"/>
        <w:jc w:val="both"/>
      </w:pPr>
      <w:r>
        <w:rPr>
          <w:rFonts w:ascii="Times New Roman"/>
          <w:b w:val="false"/>
          <w:i w:val="false"/>
          <w:color w:val="000000"/>
          <w:sz w:val="28"/>
        </w:rPr>
        <w:t>
      19. В Матрицах, где отдельные ресурсы выделены в одной ресурсной группе, оцениваются по отдельности. Ресурсы выводятся как усредненный показатель по ресурсной группе, к которой они относятся. Выделение ресурсных групп подгрупп предусмотрено в столбцах "Ресурсные группы" и "Подгруппы ресурсов" Матрицы.</w:t>
      </w:r>
    </w:p>
    <w:bookmarkEnd w:id="57"/>
    <w:bookmarkStart w:name="z64" w:id="58"/>
    <w:p>
      <w:pPr>
        <w:spacing w:after="0"/>
        <w:ind w:left="0"/>
        <w:jc w:val="both"/>
      </w:pPr>
      <w:r>
        <w:rPr>
          <w:rFonts w:ascii="Times New Roman"/>
          <w:b w:val="false"/>
          <w:i w:val="false"/>
          <w:color w:val="000000"/>
          <w:sz w:val="28"/>
        </w:rPr>
        <w:t>
      20. При рассмотрении Матрицы используются оценка относительного воздействия: "нет или незначительное" (краткая форма "нет"), "низкий", "средний" и "высокий".</w:t>
      </w:r>
    </w:p>
    <w:bookmarkEnd w:id="58"/>
    <w:bookmarkStart w:name="z65" w:id="59"/>
    <w:p>
      <w:pPr>
        <w:spacing w:after="0"/>
        <w:ind w:left="0"/>
        <w:jc w:val="both"/>
      </w:pPr>
      <w:r>
        <w:rPr>
          <w:rFonts w:ascii="Times New Roman"/>
          <w:b w:val="false"/>
          <w:i w:val="false"/>
          <w:color w:val="000000"/>
          <w:sz w:val="28"/>
        </w:rPr>
        <w:t>
      В сложных сценариях устанавливаются более детальные уровни: "нет", "низкий", "средний", "высокий", "экстремальный". Дополнительные уровни включаются при наличии вероятности к значительному изменению итогов АСЭП, в последующим подлежит существенным изменениям стратегии реагирования.</w:t>
      </w:r>
    </w:p>
    <w:bookmarkEnd w:id="59"/>
    <w:bookmarkStart w:name="z66" w:id="60"/>
    <w:p>
      <w:pPr>
        <w:spacing w:after="0"/>
        <w:ind w:left="0"/>
        <w:jc w:val="both"/>
      </w:pPr>
      <w:r>
        <w:rPr>
          <w:rFonts w:ascii="Times New Roman"/>
          <w:b w:val="false"/>
          <w:i w:val="false"/>
          <w:color w:val="000000"/>
          <w:sz w:val="28"/>
        </w:rPr>
        <w:t>
      Оценкам относительного воздействия "нет", "низкий", "средний" и "высокий" назначаются числовые значения 1, 2, 3 и 4.</w:t>
      </w:r>
    </w:p>
    <w:bookmarkEnd w:id="60"/>
    <w:bookmarkStart w:name="z67" w:id="61"/>
    <w:p>
      <w:pPr>
        <w:spacing w:after="0"/>
        <w:ind w:left="0"/>
        <w:jc w:val="both"/>
      </w:pPr>
      <w:r>
        <w:rPr>
          <w:rFonts w:ascii="Times New Roman"/>
          <w:b w:val="false"/>
          <w:i w:val="false"/>
          <w:color w:val="000000"/>
          <w:sz w:val="28"/>
        </w:rPr>
        <w:t>
      21. Эффективность каждого из методов ликвидации разливов нефти рассматривается в контексте конкретного сценария и путей воздействия на каждую ресурсную группу.</w:t>
      </w:r>
    </w:p>
    <w:bookmarkEnd w:id="61"/>
    <w:bookmarkStart w:name="z68" w:id="62"/>
    <w:p>
      <w:pPr>
        <w:spacing w:after="0"/>
        <w:ind w:left="0"/>
        <w:jc w:val="both"/>
      </w:pPr>
      <w:r>
        <w:rPr>
          <w:rFonts w:ascii="Times New Roman"/>
          <w:b w:val="false"/>
          <w:i w:val="false"/>
          <w:color w:val="000000"/>
          <w:sz w:val="28"/>
        </w:rPr>
        <w:t>
      Эффективность зависит от ряда факторов, в том числе типа нефти, выветривания и объема разлива, волнения моря, степени охвата (интенсивность обработки разлитой нефти, которую обеспечивает тот или иной метод ликвидации разливов нефти) и ограничений, накладываемых логистикой. Возможности методов ликвидации разливов нефти рассматриваются как факторы, повышающие действенность, ограничения являются факторами, снижающими ее.</w:t>
      </w:r>
    </w:p>
    <w:bookmarkEnd w:id="62"/>
    <w:bookmarkStart w:name="z69" w:id="63"/>
    <w:p>
      <w:pPr>
        <w:spacing w:after="0"/>
        <w:ind w:left="0"/>
        <w:jc w:val="both"/>
      </w:pPr>
      <w:r>
        <w:rPr>
          <w:rFonts w:ascii="Times New Roman"/>
          <w:b w:val="false"/>
          <w:i w:val="false"/>
          <w:color w:val="000000"/>
          <w:sz w:val="28"/>
        </w:rPr>
        <w:t>
      Предварительное прогнозирование создает основу для выделения факторов, воздействующих на последствия, для каждой комбинации метода ликвидации разливов нефти и ресурсной группы на этапе поиска компромиссных решений.</w:t>
      </w:r>
    </w:p>
    <w:bookmarkEnd w:id="63"/>
    <w:bookmarkStart w:name="z70" w:id="64"/>
    <w:p>
      <w:pPr>
        <w:spacing w:after="0"/>
        <w:ind w:left="0"/>
        <w:jc w:val="left"/>
      </w:pPr>
      <w:r>
        <w:rPr>
          <w:rFonts w:ascii="Times New Roman"/>
          <w:b/>
          <w:i w:val="false"/>
          <w:color w:val="000000"/>
        </w:rPr>
        <w:t xml:space="preserve"> Параграф 3. Поиск компромиссных решений</w:t>
      </w:r>
    </w:p>
    <w:bookmarkEnd w:id="64"/>
    <w:bookmarkStart w:name="z71" w:id="65"/>
    <w:p>
      <w:pPr>
        <w:spacing w:after="0"/>
        <w:ind w:left="0"/>
        <w:jc w:val="both"/>
      </w:pPr>
      <w:r>
        <w:rPr>
          <w:rFonts w:ascii="Times New Roman"/>
          <w:b w:val="false"/>
          <w:i w:val="false"/>
          <w:color w:val="000000"/>
          <w:sz w:val="28"/>
        </w:rPr>
        <w:t>
      22. Показатели факторов снижения воздействия определяют степень изменения оценки и характера воздействия каждого метода ликвидации разливов нефти по сравнению с методом наблюдение и оценка (невмешательство). Присвоение цифрового значения для категории показатель факторов снижения воздействия предусмотрены в столбцах B1, B2, В3, B4 и B5 Матрицы.</w:t>
      </w:r>
    </w:p>
    <w:bookmarkEnd w:id="65"/>
    <w:bookmarkStart w:name="z72" w:id="66"/>
    <w:p>
      <w:pPr>
        <w:spacing w:after="0"/>
        <w:ind w:left="0"/>
        <w:jc w:val="both"/>
      </w:pPr>
      <w:r>
        <w:rPr>
          <w:rFonts w:ascii="Times New Roman"/>
          <w:b w:val="false"/>
          <w:i w:val="false"/>
          <w:color w:val="000000"/>
          <w:sz w:val="28"/>
        </w:rPr>
        <w:t xml:space="preserve">
      23. При смягчении последствий воздействия для данной ресурсной группы каким-либо методом ликвидации разливов нефти, вносится положительное число. При усугублении последствия воздействия или при возникновении нового воздействия, при каком-либо методе ликвидации разливов нефти, записывается отрицательное число. Показатели снижения воздействия на последствия предусмотрены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w:t>
      </w:r>
    </w:p>
    <w:bookmarkEnd w:id="66"/>
    <w:bookmarkStart w:name="z73" w:id="67"/>
    <w:p>
      <w:pPr>
        <w:spacing w:after="0"/>
        <w:ind w:left="0"/>
        <w:jc w:val="both"/>
      </w:pPr>
      <w:r>
        <w:rPr>
          <w:rFonts w:ascii="Times New Roman"/>
          <w:b w:val="false"/>
          <w:i w:val="false"/>
          <w:color w:val="000000"/>
          <w:sz w:val="28"/>
        </w:rPr>
        <w:t>
      24. При присвоении цифрового значения для категории показатель снижения воздействия выводится показатель относительного смягчения последствий по каждому методу ликвидации разлива нефти, внесҰнном в Матрицу. Показатель потенциального относительного воздействия для каждой ресурсной группы при невмешательстве умножается на соответствующий показатель снижения воздействия каждого метода ликвидации разливов нефти.</w:t>
      </w:r>
    </w:p>
    <w:bookmarkEnd w:id="67"/>
    <w:bookmarkStart w:name="z74" w:id="68"/>
    <w:p>
      <w:pPr>
        <w:spacing w:after="0"/>
        <w:ind w:left="0"/>
        <w:jc w:val="both"/>
      </w:pPr>
      <w:r>
        <w:rPr>
          <w:rFonts w:ascii="Times New Roman"/>
          <w:b w:val="false"/>
          <w:i w:val="false"/>
          <w:color w:val="000000"/>
          <w:sz w:val="28"/>
        </w:rPr>
        <w:t>
      Рассчитывается показатель относительного смягчения последствий для каждой из комбинаций ресурсной группы и метода ликвидации разливов нефти.</w:t>
      </w:r>
    </w:p>
    <w:bookmarkEnd w:id="68"/>
    <w:bookmarkStart w:name="z75" w:id="69"/>
    <w:p>
      <w:pPr>
        <w:spacing w:after="0"/>
        <w:ind w:left="0"/>
        <w:jc w:val="both"/>
      </w:pPr>
      <w:r>
        <w:rPr>
          <w:rFonts w:ascii="Times New Roman"/>
          <w:b w:val="false"/>
          <w:i w:val="false"/>
          <w:color w:val="000000"/>
          <w:sz w:val="28"/>
        </w:rPr>
        <w:t>
      25. Данные показатели заносятся в столбцы A x B1, A x B2, A x B3, A x B4 и A x B5 Матрицы и обозначают относительное изменение уровня воздействия, обеспечиваемое каждым из методов ликвидации разливов нефти на каждый из ресурсов.</w:t>
      </w:r>
    </w:p>
    <w:bookmarkEnd w:id="69"/>
    <w:bookmarkStart w:name="z76" w:id="70"/>
    <w:p>
      <w:pPr>
        <w:spacing w:after="0"/>
        <w:ind w:left="0"/>
        <w:jc w:val="both"/>
      </w:pPr>
      <w:r>
        <w:rPr>
          <w:rFonts w:ascii="Times New Roman"/>
          <w:b w:val="false"/>
          <w:i w:val="false"/>
          <w:color w:val="000000"/>
          <w:sz w:val="28"/>
        </w:rPr>
        <w:t>
      Показатель относительного смягчения последствий выводится из качественного ранжирования воздействий и этот показатель не считается количественной величиной воздействия.</w:t>
      </w:r>
    </w:p>
    <w:bookmarkEnd w:id="70"/>
    <w:bookmarkStart w:name="z77" w:id="71"/>
    <w:p>
      <w:pPr>
        <w:spacing w:after="0"/>
        <w:ind w:left="0"/>
        <w:jc w:val="both"/>
      </w:pPr>
      <w:r>
        <w:rPr>
          <w:rFonts w:ascii="Times New Roman"/>
          <w:b w:val="false"/>
          <w:i w:val="false"/>
          <w:color w:val="000000"/>
          <w:sz w:val="28"/>
        </w:rPr>
        <w:t>
      При наличии в ресурсной группе отдельно выделенных ресурсов, по данным показателям выводится средне арифметический показатель для данной ресурсной группы. Все показатели округляются до целых чисел.</w:t>
      </w:r>
    </w:p>
    <w:bookmarkEnd w:id="71"/>
    <w:bookmarkStart w:name="z78" w:id="72"/>
    <w:p>
      <w:pPr>
        <w:spacing w:after="0"/>
        <w:ind w:left="0"/>
        <w:jc w:val="both"/>
      </w:pPr>
      <w:r>
        <w:rPr>
          <w:rFonts w:ascii="Times New Roman"/>
          <w:b w:val="false"/>
          <w:i w:val="false"/>
          <w:color w:val="000000"/>
          <w:sz w:val="28"/>
        </w:rPr>
        <w:t>
      26. Показатели для каждого метода ликвидации разливов нефти суммируются в линии "Совокупный показатель относительного смягчения последствий" Матрицы. Суммарные значения представляют собой качественные прогнозы степени смягчения совокупных последствий воздействия в том или ином сценарии, обеспечиваемой каждым из методов ликвидации разливов нефти (по сравнению с отсутствием вмешательства).</w:t>
      </w:r>
    </w:p>
    <w:bookmarkEnd w:id="72"/>
    <w:bookmarkStart w:name="z79" w:id="73"/>
    <w:p>
      <w:pPr>
        <w:spacing w:after="0"/>
        <w:ind w:left="0"/>
        <w:jc w:val="both"/>
      </w:pPr>
      <w:r>
        <w:rPr>
          <w:rFonts w:ascii="Times New Roman"/>
          <w:b w:val="false"/>
          <w:i w:val="false"/>
          <w:color w:val="000000"/>
          <w:sz w:val="28"/>
        </w:rPr>
        <w:t>
      27. По совокупному показателю относительного смягчения последствий проводится ранжирование методов ликвидации разливов нефти по относительной способности смягчать последствия воздействия и способствовать восстановлению. Ранжирование способствует объективному сравнению методов ликвидации разливов нефти при поиске компромисса между возможностями и ограничениями.</w:t>
      </w:r>
    </w:p>
    <w:bookmarkEnd w:id="73"/>
    <w:bookmarkStart w:name="z80" w:id="74"/>
    <w:p>
      <w:pPr>
        <w:spacing w:after="0"/>
        <w:ind w:left="0"/>
        <w:jc w:val="left"/>
      </w:pPr>
      <w:r>
        <w:rPr>
          <w:rFonts w:ascii="Times New Roman"/>
          <w:b/>
          <w:i w:val="false"/>
          <w:color w:val="000000"/>
        </w:rPr>
        <w:t xml:space="preserve"> Параграф 4. Выбор оптимальных методов</w:t>
      </w:r>
    </w:p>
    <w:bookmarkEnd w:id="74"/>
    <w:bookmarkStart w:name="z81" w:id="75"/>
    <w:p>
      <w:pPr>
        <w:spacing w:after="0"/>
        <w:ind w:left="0"/>
        <w:jc w:val="both"/>
      </w:pPr>
      <w:r>
        <w:rPr>
          <w:rFonts w:ascii="Times New Roman"/>
          <w:b w:val="false"/>
          <w:i w:val="false"/>
          <w:color w:val="000000"/>
          <w:sz w:val="28"/>
        </w:rPr>
        <w:t>
      28. Окончательная Матрица, составленная на этапе поиска компромиссных решений, используется для выбора оптимального метода или набора методов ликвидации разливов нефти для реализации в каждом из сценариев. При этом выбирается метод или методы с максимальным показателем смягчения последствий.</w:t>
      </w:r>
    </w:p>
    <w:bookmarkEnd w:id="75"/>
    <w:bookmarkStart w:name="z82" w:id="76"/>
    <w:p>
      <w:pPr>
        <w:spacing w:after="0"/>
        <w:ind w:left="0"/>
        <w:jc w:val="both"/>
      </w:pPr>
      <w:r>
        <w:rPr>
          <w:rFonts w:ascii="Times New Roman"/>
          <w:b w:val="false"/>
          <w:i w:val="false"/>
          <w:color w:val="000000"/>
          <w:sz w:val="28"/>
        </w:rPr>
        <w:t>
      29. Предложение по реализации оптимальных методов представляется в виде "концепции оперативных мероприятий", которая является основой для выработки и реализации тактики и стратегии реагирования.</w:t>
      </w:r>
    </w:p>
    <w:bookmarkEnd w:id="76"/>
    <w:bookmarkStart w:name="z83" w:id="77"/>
    <w:p>
      <w:pPr>
        <w:spacing w:after="0"/>
        <w:ind w:left="0"/>
        <w:jc w:val="both"/>
      </w:pPr>
      <w:r>
        <w:rPr>
          <w:rFonts w:ascii="Times New Roman"/>
          <w:b w:val="false"/>
          <w:i w:val="false"/>
          <w:color w:val="000000"/>
          <w:sz w:val="28"/>
        </w:rPr>
        <w:t xml:space="preserve">
      Концепция оперативных мероприятий, предусмотренная </w:t>
      </w:r>
      <w:r>
        <w:rPr>
          <w:rFonts w:ascii="Times New Roman"/>
          <w:b w:val="false"/>
          <w:i w:val="false"/>
          <w:color w:val="000000"/>
          <w:sz w:val="28"/>
        </w:rPr>
        <w:t>приложением 3</w:t>
      </w:r>
      <w:r>
        <w:rPr>
          <w:rFonts w:ascii="Times New Roman"/>
          <w:b w:val="false"/>
          <w:i w:val="false"/>
          <w:color w:val="000000"/>
          <w:sz w:val="28"/>
        </w:rPr>
        <w:t xml:space="preserve"> к настоящей Методике, указывает зоны или районы применения определенных методов ликвидации разливов нефти, а также, время и период применения данных методов. Для каждого сценария разлива предусмотрена своя концепция оперативных мер с выявленными оптимальными методами и зонами.</w:t>
      </w:r>
    </w:p>
    <w:bookmarkEnd w:id="77"/>
    <w:bookmarkStart w:name="z84" w:id="78"/>
    <w:p>
      <w:pPr>
        <w:spacing w:after="0"/>
        <w:ind w:left="0"/>
        <w:jc w:val="left"/>
      </w:pPr>
      <w:r>
        <w:rPr>
          <w:rFonts w:ascii="Times New Roman"/>
          <w:b/>
          <w:i w:val="false"/>
          <w:color w:val="000000"/>
        </w:rPr>
        <w:t xml:space="preserve"> Глава 3. Заполнение матрицы оценки смягчения последствий разливов нефти</w:t>
      </w:r>
    </w:p>
    <w:bookmarkEnd w:id="78"/>
    <w:bookmarkStart w:name="z85" w:id="79"/>
    <w:p>
      <w:pPr>
        <w:spacing w:after="0"/>
        <w:ind w:left="0"/>
        <w:jc w:val="left"/>
      </w:pPr>
      <w:r>
        <w:rPr>
          <w:rFonts w:ascii="Times New Roman"/>
          <w:b/>
          <w:i w:val="false"/>
          <w:color w:val="000000"/>
        </w:rPr>
        <w:t xml:space="preserve"> Параграф 5. Оценка относительного последствия</w:t>
      </w:r>
    </w:p>
    <w:bookmarkEnd w:id="79"/>
    <w:bookmarkStart w:name="z86" w:id="80"/>
    <w:p>
      <w:pPr>
        <w:spacing w:after="0"/>
        <w:ind w:left="0"/>
        <w:jc w:val="both"/>
      </w:pPr>
      <w:r>
        <w:rPr>
          <w:rFonts w:ascii="Times New Roman"/>
          <w:b w:val="false"/>
          <w:i w:val="false"/>
          <w:color w:val="000000"/>
          <w:sz w:val="28"/>
        </w:rPr>
        <w:t>
      30. При оценке потенциального воздействия нефтяного разлива определяется система уровней для оценки масштаба воздействия (с "низкого" по "высокий") и пороговые значения, ниже которых воздействие считается незначительным.</w:t>
      </w:r>
    </w:p>
    <w:bookmarkEnd w:id="80"/>
    <w:bookmarkStart w:name="z87" w:id="81"/>
    <w:p>
      <w:pPr>
        <w:spacing w:after="0"/>
        <w:ind w:left="0"/>
        <w:jc w:val="both"/>
      </w:pPr>
      <w:r>
        <w:rPr>
          <w:rFonts w:ascii="Times New Roman"/>
          <w:b w:val="false"/>
          <w:i w:val="false"/>
          <w:color w:val="000000"/>
          <w:sz w:val="28"/>
        </w:rPr>
        <w:t>
      31. Уровни воздействия "незначительное" и "не прогнозируется" определяются как "нет". Для определения данного уровня источником информации служат данные наблюдений за прошлыми разливами нефти, полученные в результате мониторинга, оценки специалистов профильного направления.</w:t>
      </w:r>
    </w:p>
    <w:bookmarkEnd w:id="81"/>
    <w:bookmarkStart w:name="z88" w:id="82"/>
    <w:p>
      <w:pPr>
        <w:spacing w:after="0"/>
        <w:ind w:left="0"/>
        <w:jc w:val="both"/>
      </w:pPr>
      <w:r>
        <w:rPr>
          <w:rFonts w:ascii="Times New Roman"/>
          <w:b w:val="false"/>
          <w:i w:val="false"/>
          <w:color w:val="000000"/>
          <w:sz w:val="28"/>
        </w:rPr>
        <w:t>
      32. Определение уровня воздействий учитывает степень и масштаб воздействия (количество ресурсов, подверженных опасности, или их доля), а также время восстановления ресурсов или продолжительность воздействия.</w:t>
      </w:r>
    </w:p>
    <w:bookmarkEnd w:id="82"/>
    <w:bookmarkStart w:name="z89" w:id="83"/>
    <w:p>
      <w:pPr>
        <w:spacing w:after="0"/>
        <w:ind w:left="0"/>
        <w:jc w:val="both"/>
      </w:pPr>
      <w:r>
        <w:rPr>
          <w:rFonts w:ascii="Times New Roman"/>
          <w:b w:val="false"/>
          <w:i w:val="false"/>
          <w:color w:val="000000"/>
          <w:sz w:val="28"/>
        </w:rPr>
        <w:t>
      При оказании легкого воздействие разлива нефти на небольшую долю ресурса, способного быстро восстановиться от вредного воздействия, присваивается низкий показатель воздействия. При значительном воздействии на большую долю ресурса, который, восстанавливается медленно, присваивается высокий показатель воздействия.</w:t>
      </w:r>
    </w:p>
    <w:bookmarkEnd w:id="83"/>
    <w:bookmarkStart w:name="z90" w:id="84"/>
    <w:p>
      <w:pPr>
        <w:spacing w:after="0"/>
        <w:ind w:left="0"/>
        <w:jc w:val="both"/>
      </w:pPr>
      <w:r>
        <w:rPr>
          <w:rFonts w:ascii="Times New Roman"/>
          <w:b w:val="false"/>
          <w:i w:val="false"/>
          <w:color w:val="000000"/>
          <w:sz w:val="28"/>
        </w:rPr>
        <w:t>
      33. Необходимо определить вероятность воздействия нефти на тот или иной ресурс, и при наличии воздействия определяется степень или масштаб воздействия по количественной или относительной оценке.</w:t>
      </w:r>
    </w:p>
    <w:bookmarkEnd w:id="84"/>
    <w:bookmarkStart w:name="z91" w:id="85"/>
    <w:p>
      <w:pPr>
        <w:spacing w:after="0"/>
        <w:ind w:left="0"/>
        <w:jc w:val="both"/>
      </w:pPr>
      <w:r>
        <w:rPr>
          <w:rFonts w:ascii="Times New Roman"/>
          <w:b w:val="false"/>
          <w:i w:val="false"/>
          <w:color w:val="000000"/>
          <w:sz w:val="28"/>
        </w:rPr>
        <w:t xml:space="preserve">
      34. Для ресурсных групп оценка степени воздействия определяется по Матрице, используемой для определения относительного воздействия на экологические ресурсы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Уровни воздействия и периоды восстановления устанавливаются исходя из контекста АСЭП, показатели отражают относительный уровень воздействия на разные ресурсы и учитывающие местный контекст и приоритеты.</w:t>
      </w:r>
    </w:p>
    <w:bookmarkEnd w:id="85"/>
    <w:bookmarkStart w:name="z92" w:id="86"/>
    <w:p>
      <w:pPr>
        <w:spacing w:after="0"/>
        <w:ind w:left="0"/>
        <w:jc w:val="both"/>
      </w:pPr>
      <w:r>
        <w:rPr>
          <w:rFonts w:ascii="Times New Roman"/>
          <w:b w:val="false"/>
          <w:i w:val="false"/>
          <w:color w:val="000000"/>
          <w:sz w:val="28"/>
        </w:rPr>
        <w:t xml:space="preserve">
      35. При наличии данных о плотности популяций и важных экологических ресурсов, проводится более точный анализ. Сведения об оценке процента популяции, расположенного в данном районе, объединены с уровнем подверженности этой популяции воздействию нефти, проводится согласно Матрицы для определения уровня подверженности к воздействию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86"/>
    <w:bookmarkStart w:name="z93" w:id="87"/>
    <w:p>
      <w:pPr>
        <w:spacing w:after="0"/>
        <w:ind w:left="0"/>
        <w:jc w:val="both"/>
      </w:pPr>
      <w:r>
        <w:rPr>
          <w:rFonts w:ascii="Times New Roman"/>
          <w:b w:val="false"/>
          <w:i w:val="false"/>
          <w:color w:val="000000"/>
          <w:sz w:val="28"/>
        </w:rPr>
        <w:t xml:space="preserve">
      Результаты данной Матрицы используются в качестве исходных данных Матрицы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87"/>
    <w:bookmarkStart w:name="z94" w:id="88"/>
    <w:p>
      <w:pPr>
        <w:spacing w:after="0"/>
        <w:ind w:left="0"/>
        <w:jc w:val="both"/>
      </w:pPr>
      <w:r>
        <w:rPr>
          <w:rFonts w:ascii="Times New Roman"/>
          <w:b w:val="false"/>
          <w:i w:val="false"/>
          <w:color w:val="000000"/>
          <w:sz w:val="28"/>
        </w:rPr>
        <w:t>
      36. Степень воздействия нефти на водные организмы, находящиеся в толще воды, зависит от концентрации наиболее растворимых компонентов нефти в воде и их токсичности, чувствительности подвергаемых воздействию организмов к нефти, а также продолжительности воздействия.</w:t>
      </w:r>
    </w:p>
    <w:bookmarkEnd w:id="88"/>
    <w:bookmarkStart w:name="z95" w:id="89"/>
    <w:p>
      <w:pPr>
        <w:spacing w:after="0"/>
        <w:ind w:left="0"/>
        <w:jc w:val="both"/>
      </w:pPr>
      <w:r>
        <w:rPr>
          <w:rFonts w:ascii="Times New Roman"/>
          <w:b w:val="false"/>
          <w:i w:val="false"/>
          <w:color w:val="000000"/>
          <w:sz w:val="28"/>
        </w:rPr>
        <w:t>
      37. Масштаб воздействия разлива нефти на организмы, обитающие в толще воды, зависит от глубины, площади и времени воздействия нефти и ее концентрации, а также от плотности и численности водных организмов (биологической плотности или биомассы) в зоне воздействия.</w:t>
      </w:r>
    </w:p>
    <w:bookmarkEnd w:id="89"/>
    <w:bookmarkStart w:name="z96" w:id="90"/>
    <w:p>
      <w:pPr>
        <w:spacing w:after="0"/>
        <w:ind w:left="0"/>
        <w:jc w:val="both"/>
      </w:pPr>
      <w:r>
        <w:rPr>
          <w:rFonts w:ascii="Times New Roman"/>
          <w:b w:val="false"/>
          <w:i w:val="false"/>
          <w:color w:val="000000"/>
          <w:sz w:val="28"/>
        </w:rPr>
        <w:t>
      38. При определении уровня потенциального воздействия на ресурсную группу "толща воды" присваивается "высокий" показатель воздействия на водную толщу:</w:t>
      </w:r>
    </w:p>
    <w:bookmarkEnd w:id="90"/>
    <w:bookmarkStart w:name="z97" w:id="91"/>
    <w:p>
      <w:pPr>
        <w:spacing w:after="0"/>
        <w:ind w:left="0"/>
        <w:jc w:val="both"/>
      </w:pPr>
      <w:r>
        <w:rPr>
          <w:rFonts w:ascii="Times New Roman"/>
          <w:b w:val="false"/>
          <w:i w:val="false"/>
          <w:color w:val="000000"/>
          <w:sz w:val="28"/>
        </w:rPr>
        <w:t>
      1) разлив легкой нефти на поверхности воды покрывает площадь, несущее негативное воздействие на водоем, содержащий водные организмы на ранних стадиях развития, обитающие в верхних слоях толщи воды, в нескольких метрах от поверхности воды;</w:t>
      </w:r>
    </w:p>
    <w:bookmarkEnd w:id="91"/>
    <w:bookmarkStart w:name="z98" w:id="92"/>
    <w:p>
      <w:pPr>
        <w:spacing w:after="0"/>
        <w:ind w:left="0"/>
        <w:jc w:val="both"/>
      </w:pPr>
      <w:r>
        <w:rPr>
          <w:rFonts w:ascii="Times New Roman"/>
          <w:b w:val="false"/>
          <w:i w:val="false"/>
          <w:color w:val="000000"/>
          <w:sz w:val="28"/>
        </w:rPr>
        <w:t>
      2) подводный выброс легкой нефти, при наличии чувствительных водных организмов на глубинах, которые затрагиваются шлейфом нефти вблизи источника выброса;</w:t>
      </w:r>
    </w:p>
    <w:bookmarkEnd w:id="92"/>
    <w:bookmarkStart w:name="z99" w:id="93"/>
    <w:p>
      <w:pPr>
        <w:spacing w:after="0"/>
        <w:ind w:left="0"/>
        <w:jc w:val="both"/>
      </w:pPr>
      <w:r>
        <w:rPr>
          <w:rFonts w:ascii="Times New Roman"/>
          <w:b w:val="false"/>
          <w:i w:val="false"/>
          <w:color w:val="000000"/>
          <w:sz w:val="28"/>
        </w:rPr>
        <w:t>
      3) разливы, воздействующие на популяции одного или нескольких видов морских организмов, которые приводят к длительному периоду восстановления.</w:t>
      </w:r>
    </w:p>
    <w:bookmarkEnd w:id="93"/>
    <w:bookmarkStart w:name="z100" w:id="94"/>
    <w:p>
      <w:pPr>
        <w:spacing w:after="0"/>
        <w:ind w:left="0"/>
        <w:jc w:val="both"/>
      </w:pPr>
      <w:r>
        <w:rPr>
          <w:rFonts w:ascii="Times New Roman"/>
          <w:b w:val="false"/>
          <w:i w:val="false"/>
          <w:color w:val="000000"/>
          <w:sz w:val="28"/>
        </w:rPr>
        <w:t>
      39. Для типов, менее растворимых или менее токсичных небольших разливов нефти в районах без значительной численности водных организмов на ранних стадиях развития или организмов с повышенной чувствительностью, определяется уровень "нет" или "низкий".</w:t>
      </w:r>
    </w:p>
    <w:bookmarkEnd w:id="94"/>
    <w:bookmarkStart w:name="z101" w:id="95"/>
    <w:p>
      <w:pPr>
        <w:spacing w:after="0"/>
        <w:ind w:left="0"/>
        <w:jc w:val="both"/>
      </w:pPr>
      <w:r>
        <w:rPr>
          <w:rFonts w:ascii="Times New Roman"/>
          <w:b w:val="false"/>
          <w:i w:val="false"/>
          <w:color w:val="000000"/>
          <w:sz w:val="28"/>
        </w:rPr>
        <w:t>
      Значительная численность – численность ресурсов, определяемая исходя из численности популяции в зависимости от территории, сезона и стадии развития.</w:t>
      </w:r>
    </w:p>
    <w:bookmarkEnd w:id="95"/>
    <w:bookmarkStart w:name="z102" w:id="96"/>
    <w:p>
      <w:pPr>
        <w:spacing w:after="0"/>
        <w:ind w:left="0"/>
        <w:jc w:val="both"/>
      </w:pPr>
      <w:r>
        <w:rPr>
          <w:rFonts w:ascii="Times New Roman"/>
          <w:b w:val="false"/>
          <w:i w:val="false"/>
          <w:color w:val="000000"/>
          <w:sz w:val="28"/>
        </w:rPr>
        <w:t>
      40. К числу потенциальных воздействий на водную поверхность включаются воздействия, влияющие на всю биоту, обитающую на водной поверхности, на которую возможно воздействие нефтяного разлива. В биоту входят морские птицы, морские млекопитающие и растительность.</w:t>
      </w:r>
    </w:p>
    <w:bookmarkEnd w:id="96"/>
    <w:bookmarkStart w:name="z103" w:id="97"/>
    <w:p>
      <w:pPr>
        <w:spacing w:after="0"/>
        <w:ind w:left="0"/>
        <w:jc w:val="both"/>
      </w:pPr>
      <w:r>
        <w:rPr>
          <w:rFonts w:ascii="Times New Roman"/>
          <w:b w:val="false"/>
          <w:i w:val="false"/>
          <w:color w:val="000000"/>
          <w:sz w:val="28"/>
        </w:rPr>
        <w:t>
      41. При разливе нефти, площадь распространения на поверхности водоема которого приведет к негативному воздействию, плавающих птиц или морских млекопитающих, присваивается "высокий" показатель воздействия.</w:t>
      </w:r>
    </w:p>
    <w:bookmarkEnd w:id="97"/>
    <w:bookmarkStart w:name="z104" w:id="98"/>
    <w:p>
      <w:pPr>
        <w:spacing w:after="0"/>
        <w:ind w:left="0"/>
        <w:jc w:val="both"/>
      </w:pPr>
      <w:r>
        <w:rPr>
          <w:rFonts w:ascii="Times New Roman"/>
          <w:b w:val="false"/>
          <w:i w:val="false"/>
          <w:color w:val="000000"/>
          <w:sz w:val="28"/>
        </w:rPr>
        <w:t>
      При разливе нефти в районах вдали от берега, где птицы, морские млекопитающие и другие организмы, обитающие на поверхности, отсутствуют, присваивается показатель воздействия "нет" или "низкий".</w:t>
      </w:r>
    </w:p>
    <w:bookmarkEnd w:id="98"/>
    <w:bookmarkStart w:name="z105" w:id="99"/>
    <w:p>
      <w:pPr>
        <w:spacing w:after="0"/>
        <w:ind w:left="0"/>
        <w:jc w:val="both"/>
      </w:pPr>
      <w:r>
        <w:rPr>
          <w:rFonts w:ascii="Times New Roman"/>
          <w:b w:val="false"/>
          <w:i w:val="false"/>
          <w:color w:val="000000"/>
          <w:sz w:val="28"/>
        </w:rPr>
        <w:t>
      42. В ресурсной группе береговой линии рассматривается воздействие экологического характера. Социально-экономические или культурные объекты при воздействии на береговую зону включаются в соответствующие ресурсные группы. При оценке потенциального относительного воздействия на береговую линию для сценария разлива, в первую очередь, учитывается следующее:</w:t>
      </w:r>
    </w:p>
    <w:bookmarkEnd w:id="99"/>
    <w:bookmarkStart w:name="z106" w:id="100"/>
    <w:p>
      <w:pPr>
        <w:spacing w:after="0"/>
        <w:ind w:left="0"/>
        <w:jc w:val="both"/>
      </w:pPr>
      <w:r>
        <w:rPr>
          <w:rFonts w:ascii="Times New Roman"/>
          <w:b w:val="false"/>
          <w:i w:val="false"/>
          <w:color w:val="000000"/>
          <w:sz w:val="28"/>
        </w:rPr>
        <w:t>
      1) наличие ресурсов, находящиеся под особой защитой или имеющие высокое экологическое значение, уязвимые к нефтяным разливам;</w:t>
      </w:r>
    </w:p>
    <w:bookmarkEnd w:id="100"/>
    <w:bookmarkStart w:name="z107" w:id="101"/>
    <w:p>
      <w:pPr>
        <w:spacing w:after="0"/>
        <w:ind w:left="0"/>
        <w:jc w:val="both"/>
      </w:pPr>
      <w:r>
        <w:rPr>
          <w:rFonts w:ascii="Times New Roman"/>
          <w:b w:val="false"/>
          <w:i w:val="false"/>
          <w:color w:val="000000"/>
          <w:sz w:val="28"/>
        </w:rPr>
        <w:t>
      2) потенциальная степень и масштаб нефтяного загрязнения береговой линии;</w:t>
      </w:r>
    </w:p>
    <w:bookmarkEnd w:id="101"/>
    <w:bookmarkStart w:name="z108" w:id="102"/>
    <w:p>
      <w:pPr>
        <w:spacing w:after="0"/>
        <w:ind w:left="0"/>
        <w:jc w:val="both"/>
      </w:pPr>
      <w:r>
        <w:rPr>
          <w:rFonts w:ascii="Times New Roman"/>
          <w:b w:val="false"/>
          <w:i w:val="false"/>
          <w:color w:val="000000"/>
          <w:sz w:val="28"/>
        </w:rPr>
        <w:t>
      3) ожидаемое длительное сохранение загрязнения без очистки береговой линии.</w:t>
      </w:r>
    </w:p>
    <w:bookmarkEnd w:id="102"/>
    <w:bookmarkStart w:name="z109" w:id="103"/>
    <w:p>
      <w:pPr>
        <w:spacing w:after="0"/>
        <w:ind w:left="0"/>
        <w:jc w:val="both"/>
      </w:pPr>
      <w:r>
        <w:rPr>
          <w:rFonts w:ascii="Times New Roman"/>
          <w:b w:val="false"/>
          <w:i w:val="false"/>
          <w:color w:val="000000"/>
          <w:sz w:val="28"/>
        </w:rPr>
        <w:t>
      43. Песчаные пляжи обладают ограниченным биологическим изобилием и малой продуктивностью, им присваивается "низкий" уровень относительного воздействия.</w:t>
      </w:r>
    </w:p>
    <w:bookmarkEnd w:id="103"/>
    <w:bookmarkStart w:name="z110" w:id="104"/>
    <w:p>
      <w:pPr>
        <w:spacing w:after="0"/>
        <w:ind w:left="0"/>
        <w:jc w:val="both"/>
      </w:pPr>
      <w:r>
        <w:rPr>
          <w:rFonts w:ascii="Times New Roman"/>
          <w:b w:val="false"/>
          <w:i w:val="false"/>
          <w:color w:val="000000"/>
          <w:sz w:val="28"/>
        </w:rPr>
        <w:t>
      В связи со стойкостью к воздействию нефти и малому времени сохранения нефтяного загрязнения открытым и высокоэнергетическим скалистым береговым линиям присваивается "низкий" уровень относительного воздействия.</w:t>
      </w:r>
    </w:p>
    <w:bookmarkEnd w:id="104"/>
    <w:bookmarkStart w:name="z111" w:id="105"/>
    <w:p>
      <w:pPr>
        <w:spacing w:after="0"/>
        <w:ind w:left="0"/>
        <w:jc w:val="both"/>
      </w:pPr>
      <w:r>
        <w:rPr>
          <w:rFonts w:ascii="Times New Roman"/>
          <w:b w:val="false"/>
          <w:i w:val="false"/>
          <w:color w:val="000000"/>
          <w:sz w:val="28"/>
        </w:rPr>
        <w:t>
      Береговым зонам с высокопродуктивными устьями рек или камышовыми зонами, местами обитания птиц, нерестилищами и с высокой прогнозной степенью загрязнения и длительным сроком сохранения загрязнения (низкоэнергетические и/или защищенные от волнения воды зоны) присваивается "высокий" уровень воздействия.</w:t>
      </w:r>
    </w:p>
    <w:bookmarkEnd w:id="105"/>
    <w:bookmarkStart w:name="z112" w:id="106"/>
    <w:p>
      <w:pPr>
        <w:spacing w:after="0"/>
        <w:ind w:left="0"/>
        <w:jc w:val="both"/>
      </w:pPr>
      <w:r>
        <w:rPr>
          <w:rFonts w:ascii="Times New Roman"/>
          <w:b w:val="false"/>
          <w:i w:val="false"/>
          <w:color w:val="000000"/>
          <w:sz w:val="28"/>
        </w:rPr>
        <w:t>
      44. При наличии в прибрежной зоне и на береговой линии любительской ловли рыбы или пляжного отдыха в ограниченных масштабах, присваивается "низкий" уровень.</w:t>
      </w:r>
    </w:p>
    <w:bookmarkEnd w:id="106"/>
    <w:bookmarkStart w:name="z113" w:id="107"/>
    <w:p>
      <w:pPr>
        <w:spacing w:after="0"/>
        <w:ind w:left="0"/>
        <w:jc w:val="both"/>
      </w:pPr>
      <w:r>
        <w:rPr>
          <w:rFonts w:ascii="Times New Roman"/>
          <w:b w:val="false"/>
          <w:i w:val="false"/>
          <w:color w:val="000000"/>
          <w:sz w:val="28"/>
        </w:rPr>
        <w:t>
      Водозаборным сооружениям присваивается "высокий" уровень потенциального воздействия.</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r>
              <w:br/>
            </w:r>
            <w:r>
              <w:rPr>
                <w:rFonts w:ascii="Times New Roman"/>
                <w:b w:val="false"/>
                <w:i w:val="false"/>
                <w:color w:val="000000"/>
                <w:sz w:val="20"/>
              </w:rPr>
              <w:t>проведения анализа суммарной</w:t>
            </w:r>
            <w:r>
              <w:br/>
            </w:r>
            <w:r>
              <w:rPr>
                <w:rFonts w:ascii="Times New Roman"/>
                <w:b w:val="false"/>
                <w:i w:val="false"/>
                <w:color w:val="000000"/>
                <w:sz w:val="20"/>
              </w:rPr>
              <w:t>экологической пользы</w:t>
            </w:r>
          </w:p>
        </w:tc>
      </w:tr>
    </w:tbl>
    <w:bookmarkStart w:name="z115" w:id="108"/>
    <w:p>
      <w:pPr>
        <w:spacing w:after="0"/>
        <w:ind w:left="0"/>
        <w:jc w:val="left"/>
      </w:pPr>
      <w:r>
        <w:rPr>
          <w:rFonts w:ascii="Times New Roman"/>
          <w:b/>
          <w:i w:val="false"/>
          <w:color w:val="000000"/>
        </w:rPr>
        <w:t xml:space="preserve"> Матрица оценки смягчения последствий разливов нефти</w:t>
      </w:r>
    </w:p>
    <w:bookmarkEnd w:id="108"/>
    <w:bookmarkStart w:name="z116"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w:t>
            </w:r>
            <w:r>
              <w:br/>
            </w:r>
            <w:r>
              <w:rPr>
                <w:rFonts w:ascii="Times New Roman"/>
                <w:b w:val="false"/>
                <w:i w:val="false"/>
                <w:color w:val="000000"/>
                <w:sz w:val="20"/>
              </w:rPr>
              <w:t>проведения анализа суммарной</w:t>
            </w:r>
            <w:r>
              <w:br/>
            </w:r>
            <w:r>
              <w:rPr>
                <w:rFonts w:ascii="Times New Roman"/>
                <w:b w:val="false"/>
                <w:i w:val="false"/>
                <w:color w:val="000000"/>
                <w:sz w:val="20"/>
              </w:rPr>
              <w:t>экологической пользы</w:t>
            </w:r>
          </w:p>
        </w:tc>
      </w:tr>
    </w:tbl>
    <w:bookmarkStart w:name="z118" w:id="110"/>
    <w:p>
      <w:pPr>
        <w:spacing w:after="0"/>
        <w:ind w:left="0"/>
        <w:jc w:val="left"/>
      </w:pPr>
      <w:r>
        <w:rPr>
          <w:rFonts w:ascii="Times New Roman"/>
          <w:b/>
          <w:i w:val="false"/>
          <w:color w:val="000000"/>
        </w:rPr>
        <w:t xml:space="preserve"> Показатели снижения воздействия</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факторов снижения воздействия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 смягчение воздействия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смягчение воздействия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 смягчение воздействия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изменения или незначительное изменение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 дополнительное воздействие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дополнительное воздействие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 дополнительное воздействие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w:t>
            </w:r>
            <w:r>
              <w:br/>
            </w:r>
            <w:r>
              <w:rPr>
                <w:rFonts w:ascii="Times New Roman"/>
                <w:b w:val="false"/>
                <w:i w:val="false"/>
                <w:color w:val="000000"/>
                <w:sz w:val="20"/>
              </w:rPr>
              <w:t>проведения анализа суммарной</w:t>
            </w:r>
            <w:r>
              <w:br/>
            </w:r>
            <w:r>
              <w:rPr>
                <w:rFonts w:ascii="Times New Roman"/>
                <w:b w:val="false"/>
                <w:i w:val="false"/>
                <w:color w:val="000000"/>
                <w:sz w:val="20"/>
              </w:rPr>
              <w:t>экологической пользы</w:t>
            </w:r>
          </w:p>
        </w:tc>
      </w:tr>
    </w:tbl>
    <w:bookmarkStart w:name="z120" w:id="111"/>
    <w:p>
      <w:pPr>
        <w:spacing w:after="0"/>
        <w:ind w:left="0"/>
        <w:jc w:val="left"/>
      </w:pPr>
      <w:r>
        <w:rPr>
          <w:rFonts w:ascii="Times New Roman"/>
          <w:b/>
          <w:i w:val="false"/>
          <w:color w:val="000000"/>
        </w:rPr>
        <w:t xml:space="preserve"> Концепция оперативных мероприятий</w:t>
      </w:r>
    </w:p>
    <w:bookmarkEnd w:id="111"/>
    <w:bookmarkStart w:name="z121"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w:t>
            </w:r>
            <w:r>
              <w:br/>
            </w:r>
            <w:r>
              <w:rPr>
                <w:rFonts w:ascii="Times New Roman"/>
                <w:b w:val="false"/>
                <w:i w:val="false"/>
                <w:color w:val="000000"/>
                <w:sz w:val="20"/>
              </w:rPr>
              <w:t>проведения анализа суммарной</w:t>
            </w:r>
            <w:r>
              <w:br/>
            </w:r>
            <w:r>
              <w:rPr>
                <w:rFonts w:ascii="Times New Roman"/>
                <w:b w:val="false"/>
                <w:i w:val="false"/>
                <w:color w:val="000000"/>
                <w:sz w:val="20"/>
              </w:rPr>
              <w:t>экологической пользы</w:t>
            </w:r>
          </w:p>
        </w:tc>
      </w:tr>
    </w:tbl>
    <w:bookmarkStart w:name="z123" w:id="113"/>
    <w:p>
      <w:pPr>
        <w:spacing w:after="0"/>
        <w:ind w:left="0"/>
        <w:jc w:val="left"/>
      </w:pPr>
      <w:r>
        <w:rPr>
          <w:rFonts w:ascii="Times New Roman"/>
          <w:b/>
          <w:i w:val="false"/>
          <w:color w:val="000000"/>
        </w:rPr>
        <w:t xml:space="preserve"> Матрица, используемая для определения относительного воздействия на экологические ресурсы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 масштаб воздействия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Период восстановления</w:t>
            </w:r>
          </w:p>
          <w:bookmarkEnd w:id="114"/>
          <w:p>
            <w:pPr>
              <w:spacing w:after="20"/>
              <w:ind w:left="20"/>
              <w:jc w:val="both"/>
            </w:pPr>
            <w:r>
              <w:rPr>
                <w:rFonts w:ascii="Times New Roman"/>
                <w:b w:val="false"/>
                <w:i w:val="false"/>
                <w:color w:val="000000"/>
                <w:sz w:val="20"/>
              </w:rPr>
              <w:t xml:space="preserve">
Медленное </w:t>
            </w:r>
          </w:p>
          <w:p>
            <w:pPr>
              <w:spacing w:after="20"/>
              <w:ind w:left="20"/>
              <w:jc w:val="both"/>
            </w:pPr>
            <w:r>
              <w:drawing>
                <wp:inline distT="0" distB="0" distL="0" distR="0">
                  <wp:extent cx="4813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133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Быстрое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&gt;5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низкий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низкий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w:t>
            </w:r>
            <w:r>
              <w:br/>
            </w:r>
            <w:r>
              <w:rPr>
                <w:rFonts w:ascii="Times New Roman"/>
                <w:b w:val="false"/>
                <w:i w:val="false"/>
                <w:color w:val="000000"/>
                <w:sz w:val="20"/>
              </w:rPr>
              <w:t>проведения анализа суммарной</w:t>
            </w:r>
            <w:r>
              <w:br/>
            </w:r>
            <w:r>
              <w:rPr>
                <w:rFonts w:ascii="Times New Roman"/>
                <w:b w:val="false"/>
                <w:i w:val="false"/>
                <w:color w:val="000000"/>
                <w:sz w:val="20"/>
              </w:rPr>
              <w:t>экологической пользы</w:t>
            </w:r>
          </w:p>
        </w:tc>
      </w:tr>
    </w:tbl>
    <w:bookmarkStart w:name="z126" w:id="115"/>
    <w:p>
      <w:pPr>
        <w:spacing w:after="0"/>
        <w:ind w:left="0"/>
        <w:jc w:val="left"/>
      </w:pPr>
      <w:r>
        <w:rPr>
          <w:rFonts w:ascii="Times New Roman"/>
          <w:b/>
          <w:i w:val="false"/>
          <w:color w:val="000000"/>
        </w:rPr>
        <w:t xml:space="preserve"> Матрица для определения уровня подверженности к воздействию</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популяции в зоне воздействия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подверженности воздействию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