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4768" w14:textId="cf74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мая 2022 года № 178. Зарегистрирован в Министерстве юстиции Республики Казахстан 30 мая 2022 года № 28258. Утратил силу приказом Заместителя Премьер-Министра - Министра труда и социальной защиты населения Республики Казахстан от 30 июня 2023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 внесены изменения на государственном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2.2 внесены изменения на государственном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 внесены изменения на государственном языке, текст на русском языке не меняется;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профессионального обучения,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Центр занятости заключает договор с организацией образования для реализации программы Обучения в соответствии с Правилами заключения договоров услуг государственного образовательного заказа посредством веб-портала государственных закупок,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(зарегистрирован в Реестре государственной регистрации нормативных правовых актов под № 26502) (далее – Приказ № 12).";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Организации образования ежемесячно к 1 (первому) числу месяца, следующего за отчетным, представляют в центр занятости отчет о ходе реализации Обучения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12.";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внесены изменения на государственном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Центр занятости в течение 10 (десяти) рабочих дней со дня завершения сбора заявок рассматривает заявки на предмет соответствия критериям отбора работодателей, указанным в пункте 42 настоящих Правил.";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№ _______ на организацию и финансирование профессионального обучения безработных на рабочем месте у работодателей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заключения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"Заказчик",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работодатель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"Исполнитель",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14 июня 2016 года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содействия занятости населения"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13938)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Приказ № 516) и на основании решения районной (городской)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 _______ 20__ года №_____ заключили настоящий договор об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финансировании обучения безработных на рабочем месте у работодателей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и пришли к соглашению о нижеследующем:";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профессиональному обучению, утвержденной указанным приказом: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занятости населения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занятости населения",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"Работодатель"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"Обучаемый", и Организация, проводящая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"Организация образования",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14 июня 2016 года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содействия занятости населения"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13938)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№ 516) и на основании решения районной (городской)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 _______ 20__ года №_____ заключили настоящий социальный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профессиональному обучению (далее – Социальный контракт) и пришли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соглашению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Предмет Социального контракта"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Предмет Социального контракта";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Обязательства Сторон"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Обязательства Сторон";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Ответственность Сторон"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Ответственность Сторон".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Биржанова Е. 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