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8fcb48" w14:textId="18fcb4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мониторинга промышленно-инновационных проектов единой карты индустриализации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индустрии и инфраструктурного развития Республики Казахстан от 12 мая 2022 года № 265. Зарегистрирован в Министерстве юстиции Республики Казахстан 18 мая 2022 года № 28102.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Закона Республики Казахстан "О промышленной политике",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промышленности и строительства РК от 18.02.2025 </w:t>
      </w:r>
      <w:r>
        <w:rPr>
          <w:rFonts w:ascii="Times New Roman"/>
          <w:b w:val="false"/>
          <w:i w:val="false"/>
          <w:color w:val="000000"/>
          <w:sz w:val="28"/>
        </w:rPr>
        <w:t>№ 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мониторинга промышленно-инновационных проектов единой карты индустриализации.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индустриального развития Министерства индустрии и инфраструктурного развития Республики Казахстан в установленным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индустрии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Карабаев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Индустрия және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инфрақұрылымдық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даму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міндетін атқарушының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12 мамырдағы № 265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мониторинга промышленно-инновационных проектов единой карты индустриализации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мониторинга промышленно-инновационных проектов единой карты индустриализации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Закона Республики Казахстан "О промышленной политике" и определяет порядок мониторинга проектов единой карты индустриализации (далее – карта).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Методике используются следующие основные понятия: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единая карта индустриализации - совокупность промышленно-инновационных проектов, реализуемых субъектами промышленно-инновационной деятельности;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ответственный государственный орган – государственный орган, ответственный за реализацию инвестиционного проекта;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местный исполнительный орган – коллегиальный исполнительный орган, возглавляемый акимом столицы, области, города республиканского значения, района (города областного значения), осуществляющий в пределах своей компетенции местное государственное управление и самоуправление на соответствующей территории;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план-график реализации проекта – документ, устанавливающий плановые сроки начала/окончания проекта и ключевые контрольные точки реализации проекта;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рабочее место – место постоянного или временного нахождения работника при выполнении им трудовых обязанностей в процессе трудовой деятельности;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инвестиции в основной капитал – совокупность затрат, направленных на строительство, реконструкцию (включая расширение и модернизацию) объектов, которые приводят к увеличению их первоначальной стоимости, приобретение машин, оборудования, транспортных средств, производственного и хозяйственного инвентаря;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объем выполненных строительных работ (услуг) – включает строительно-монтажные работы, а также прочие подрядные работы, выполненные по генеральным, прямым и субподрядным договорам за счет всех источников финансирования по строительству новых объектов, капитальному и текущему ремонту, реконструкции, модернизации жилых и нежилых зданий, инженерных сооружений;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объем произведенной продукции в натуральном выражении – валовой выпуск продукции инвестиционного проекта;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объем произведенной продукции и оказанных услуг – стоимость всей выпущенной продукции, выполненных работ и оказанных услуг;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промышленно-инновационный проект – комплекс реализуемых в течение определенного времени мероприятий, направленных на трансферт технологий, создание новых (усовершенствование действующих) производств и (или) осуществление инновационной деятельности;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уполномоченный орган в области государственного стимулирования промышленности (далее – уполномоченный орган) – центральный исполнительный орган, осуществляющий руководство в сфере промышленности, а также в пределах, предусмотренных законодательством Республики Казахстан, межотраслевую координацию и участие в реализации государственного стимулирования промышленности;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меры государственного стимулирования промышленности – меры стимулирования, применяемые государством в целях развития обрабатывающей промышленности и промышленно-инновационной деятельности, осуществляемые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промышленной политике";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заявитель – физическое/юридическое лицо, осуществляющее планирование и реализацию промышленно-инновационного проекта.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Министра промышленности и строительства РК от 19.08.2026 </w:t>
      </w:r>
      <w:r>
        <w:rPr>
          <w:rFonts w:ascii="Times New Roman"/>
          <w:b w:val="false"/>
          <w:i w:val="false"/>
          <w:color w:val="000000"/>
          <w:sz w:val="28"/>
        </w:rPr>
        <w:t>№ 413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мониторинга промышленно-инновационных проектов единой карты индустриализации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Мониторинг промышленно-инновационных проектов карты (далее – мониторинг) включает в себя: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и актуализация перечня проектов карты;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выявление текущих проблем в реализации проектов карты и выработка предложений по их решению;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выявление системных проблем в рамках проектов карты с дальнейшей выработкой соответствующих предложений по их разрешению;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выработка предложений, направленных на развитие обрабатывающей промышленности.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Мониторинг проводится ежеквартально ответственным государственным органом с момента включения проекта в карту.</w:t>
      </w:r>
    </w:p>
    <w:bookmarkEnd w:id="32"/>
    <w:bookmarkStart w:name="z32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государственный орган осуществляет интеграцию проектов Единой карты индустриализации в Национальную цифровую инвестиционную платформу.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– в редакции приказа Министра промышленности и строительства РК от 21.07.2025 </w:t>
      </w:r>
      <w:r>
        <w:rPr>
          <w:rFonts w:ascii="Times New Roman"/>
          <w:b w:val="false"/>
          <w:i w:val="false"/>
          <w:color w:val="000000"/>
          <w:sz w:val="28"/>
        </w:rPr>
        <w:t>№ 271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Мониторинг делиться на два этапа: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 ввода в эксплуатацию проекта;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после ввода в эксплуатацию проекта.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Ответственный государственный орган в целях осуществления Мониторинга запрашивает у заявителя следующие материалы: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информацию по проектам карты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Методике;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согласие на распространение первичных статистических данных (далее – согласие)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Методике;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план-график реализации проекта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предоставления заявителем неполной и/или недостоверной информации по проектам карты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Методике, ответственный государственный орган направляет соответствующие запросы в заинтересованные государственные органы и организаций.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рамках мониторинга используются следующие первичные статистические данные, получаемые на основании согласия: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объем инвестиций в основной капитал;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объем выполненных строительных работ (услуг);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объем произведенной продукции и оказанных услуг;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списочная численность работников в среднем за отчетный период.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Первичные статистические данные формируются субъектами промышленно-инновационной деятельности по предприятию в целом, без разделений на отдельные проекты.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Мониторинг до ввода в эксплуатацию предусматривает анализ текущего состояния проекта, включающий в себя проверку и обработку следующих показателей:</w:t>
      </w:r>
    </w:p>
    <w:bookmarkEnd w:id="48"/>
    <w:bookmarkStart w:name="z32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освоение инвестиций, которое исчисляется соотношением текущего объема инвестиций в основной капитал к общему объему инвестиций;</w:t>
      </w:r>
    </w:p>
    <w:bookmarkEnd w:id="49"/>
    <w:bookmarkStart w:name="z32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временных рабочих мест определяемых численностью задействованных рабочих мест на период строительства проекта;</w:t>
      </w:r>
    </w:p>
    <w:bookmarkEnd w:id="50"/>
    <w:bookmarkStart w:name="z32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процент выполненных строительных работ (услуг), исчисляемый соотношением текущего объема выполненных строительных работ (услуг) к общему объему строительных работ (услуг) по проекту;</w:t>
      </w:r>
    </w:p>
    <w:bookmarkEnd w:id="51"/>
    <w:bookmarkStart w:name="z33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срок ввода в эксплуатацию проекта.</w:t>
      </w:r>
    </w:p>
    <w:bookmarkEnd w:id="52"/>
    <w:bookmarkStart w:name="z33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срыва срока мероприятий план-графика реализации проекта ответственный государственный орган совместно с заявителем проводит работу по выявлению причин с проработкой путей их решения и разрабатывает дорожную карту проекта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 с обязательным согласованием с центральным государственным органом по отраслевой принадлежности проекта.</w:t>
      </w:r>
    </w:p>
    <w:bookmarkEnd w:id="53"/>
    <w:bookmarkStart w:name="z33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Ответственные государственные органы проводят регулярную проверку и обработку показателей реализации проектов на основе данных, полученных из информационных систем других государственных органов.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промышленности и строительства РК от 21.07.2025 </w:t>
      </w:r>
      <w:r>
        <w:rPr>
          <w:rFonts w:ascii="Times New Roman"/>
          <w:b w:val="false"/>
          <w:i w:val="false"/>
          <w:color w:val="000000"/>
          <w:sz w:val="28"/>
        </w:rPr>
        <w:t>№ 271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Эффективность проекта карты до ввода в эксплуатацию не оценивается.</w:t>
      </w:r>
    </w:p>
    <w:bookmarkEnd w:id="55"/>
    <w:bookmarkStart w:name="z5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Мониторинг после ввода в эксплуатацию предусматривает анализ текущего состояния проекта, включающий в себя проверку и обработку следующих показателей:</w:t>
      </w:r>
    </w:p>
    <w:bookmarkEnd w:id="56"/>
    <w:bookmarkStart w:name="z6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объем произведенной продукции в натуральном выражении, который формируется заявителем в единицах измерения проектной мощности соответственно;</w:t>
      </w:r>
    </w:p>
    <w:bookmarkEnd w:id="57"/>
    <w:bookmarkStart w:name="z6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объем произведенной продукции в стоимостном выражении, который является стоимостью всей выпущенной продукции за отчетный период по проекту;</w:t>
      </w:r>
    </w:p>
    <w:bookmarkEnd w:id="58"/>
    <w:bookmarkStart w:name="z6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количество постоянных рабочих мест, определяемый списочной численностью работников в среднем за отчетный период.</w:t>
      </w:r>
    </w:p>
    <w:bookmarkEnd w:id="59"/>
    <w:bookmarkStart w:name="z6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Показателем эффективности реализации проекта после ввода в эксплуатацию является освоение проектных мощностей по итогам календарного года, которое рассчитывается соотношением объема произведенной продукции в натуральном выражении к проектной мощности в процентах.</w:t>
      </w:r>
    </w:p>
    <w:bookmarkEnd w:id="60"/>
    <w:bookmarkStart w:name="z6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показатель освоение проектной мощности равен 0% - проект простаивает, от 0,01% до 30% - с низкой загрузкой, от 30,01% до 70% - имеет среднюю загрузку, от 70,01% до 100% - имеет стабильную загрузку.</w:t>
      </w:r>
    </w:p>
    <w:bookmarkEnd w:id="61"/>
    <w:bookmarkStart w:name="z6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По простаивающим проектам и проектам с низкой загрузкой ответственный государственный орган совместно с заявителем и заинтересованными организациями разрабатывает и утверждает дорожную карту проекта по улучшению производственных показателей проекта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62"/>
    <w:bookmarkStart w:name="z6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Ответственные государственные органы ежеквартально до 20 числа следующего за отчетным формируют и направляют в уполномоченный орган информацию о ходе реализации по проектам карты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6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промышленно-инновационных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единой карты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индустриализации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6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промышленности и строительства РК от 19.08.2026 </w:t>
      </w:r>
      <w:r>
        <w:rPr>
          <w:rFonts w:ascii="Times New Roman"/>
          <w:b w:val="false"/>
          <w:i w:val="false"/>
          <w:color w:val="ff0000"/>
          <w:sz w:val="28"/>
        </w:rPr>
        <w:t>№ 413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64"/>
    <w:bookmarkStart w:name="z33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Министерство промышленности и строительства Республики Казахстан.</w:t>
      </w:r>
    </w:p>
    <w:bookmarkEnd w:id="65"/>
    <w:bookmarkStart w:name="z33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интернет–ресурсе: www.gov.kz/memleket/entities/comprom.</w:t>
      </w:r>
    </w:p>
    <w:bookmarkEnd w:id="66"/>
    <w:bookmarkStart w:name="z33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Информация по проектам единой карты индустриализации.</w:t>
      </w:r>
    </w:p>
    <w:bookmarkEnd w:id="67"/>
    <w:bookmarkStart w:name="z33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ИПЕКИ-1.</w:t>
      </w:r>
    </w:p>
    <w:bookmarkEnd w:id="68"/>
    <w:bookmarkStart w:name="z33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ежеквартально.</w:t>
      </w:r>
    </w:p>
    <w:bookmarkEnd w:id="69"/>
    <w:bookmarkStart w:name="z33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__________ 20 ____ год.</w:t>
      </w:r>
    </w:p>
    <w:bookmarkEnd w:id="70"/>
    <w:bookmarkStart w:name="z33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ответственные хозяйствующие субъекты, деятельность которых связана с обрабатывающей промышленностью (далее – хозяйствующие субъекты), местные исполнительные органы (акиматы) районов (городов областного значения), местные исполнительные органы (акиматы) столицы, областей, городов республиканского значения, центральные государственные органы.</w:t>
      </w:r>
    </w:p>
    <w:bookmarkEnd w:id="71"/>
    <w:bookmarkStart w:name="z34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хозяйствующими субъектами в местные исполнительные органы (акиматы) районов (городов областного значения) ежеквартально до 10 числа месяца, следующего за отчетным кварталом;</w:t>
      </w:r>
    </w:p>
    <w:bookmarkEnd w:id="72"/>
    <w:bookmarkStart w:name="z34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местными исполнительными органами (акиматами) районов, городов областного значения в местные исполнительные органы (акиматы) столицы, областей, городов республиканского значения ежеквартально до 15 числа месяца, следующего за отчетным кварталом;</w:t>
      </w:r>
    </w:p>
    <w:bookmarkEnd w:id="73"/>
    <w:bookmarkStart w:name="z34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местными исполнительными органами (акиматами) столицы, областей, городов республиканского значения и центральными государственными органами в Министерство промышленности и строительства Республики Казахстан ежеквартально до 20 числа месяца, следующего за отчетным кварталом.</w:t>
      </w:r>
    </w:p>
    <w:bookmarkEnd w:id="74"/>
    <w:bookmarkStart w:name="z34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ИИН/БИН: </w:t>
      </w:r>
    </w:p>
    <w:bookmarkEnd w:id="75"/>
    <w:bookmarkStart w:name="z34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6"/>
    <w:p>
      <w:pPr>
        <w:spacing w:after="0"/>
        <w:ind w:left="0"/>
        <w:jc w:val="both"/>
      </w:pPr>
      <w:r>
        <w:drawing>
          <wp:inline distT="0" distB="0" distL="0" distR="0">
            <wp:extent cx="7810500" cy="457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(не заполняется в случае представления данных физическими лицами, а также в агрегированном виде) </w:t>
      </w:r>
    </w:p>
    <w:bookmarkEnd w:id="77"/>
    <w:bookmarkStart w:name="z34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 (на бумажном носителе, в электронном виде, посредством компьютеризированной системы телефонного опроса, при личном опросе интервьюером с использованием бумажного носителя, при личном опросе интервьюером с использованием персонального вычислительного устройства): в электронном виде.</w:t>
      </w:r>
    </w:p>
    <w:bookmarkEnd w:id="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" w:id="79"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</w:rPr>
              <w:t>№</w:t>
            </w:r>
          </w:p>
          <w:bookmarkEnd w:id="79"/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Наименование проекта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Заявитель проекта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БИН/ИИН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Учредитель, страна, доля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Ответственные хозяйствующие субъекты, деятельность которых связана с промышленностью (далее – хозяйствующие субъекты), местные исполнительные органы (акиматы) районов (городов областного значения), местные исполнительные органы (акиматы) столицы, областей, городов республиканского значения, центральные государственные органы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Цель проекта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ОКЭД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Раздел вида экономической деятельности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Область, город, район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Код по Классификатору административно-территориальных объектов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Оказанные меры государственного стимулирования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Количество рабочих мест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вида меры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мера в стоимостном выражении, миллион теңге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период строительства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период эксплуатации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80"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0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формы</w:t>
      </w:r>
    </w:p>
    <w:bookmarkEnd w:id="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Планируемый объем инвестиций в проект, миллион теңге</w:t>
            </w:r>
          </w:p>
          <w:bookmarkEnd w:id="82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Фактический объем инвестиций в проект, миллион теңге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Источники финансирования проекта, миллион теңге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выпускаемой продукции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5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Общий объем</w:t>
            </w:r>
          </w:p>
          <w:bookmarkEnd w:id="83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годам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объем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годам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собственные средства, миллион теңге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заемные средства, миллион теңге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средства, миллион теңге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потребность в финансировании, миллион теңге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5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</w:t>
            </w:r>
          </w:p>
          <w:bookmarkEnd w:id="84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4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формы</w:t>
      </w:r>
    </w:p>
    <w:bookmarkEnd w:id="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6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Проектная мощность</w:t>
            </w:r>
          </w:p>
          <w:bookmarkEnd w:id="86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Объем произведенной продукции по годам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Проблемные вопросы инвесторов, с проработкой путей их разрешения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Орган, ответственный за обработку показателей реализации проектов посредством сверки с информационными системами других государственных органов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Текущее состояние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Контакты заявителя (ФИО, телефон)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4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натуральном выражении</w:t>
            </w:r>
          </w:p>
          <w:bookmarkEnd w:id="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стоимостном выражении, миллион теңге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начала строительства (ЧЧ.ММ.ГГ)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ввода в эксплуатацию (ЧЧ.ММ.ГГ)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натуральном выражении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стоимостном выражении, миллион теңге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5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</w:t>
            </w:r>
          </w:p>
          <w:bookmarkEnd w:id="88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8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приведено в приложение приложении к настоящей форме.</w:t>
      </w:r>
    </w:p>
    <w:bookmarkEnd w:id="89"/>
    <w:bookmarkStart w:name="z48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Атауы                                           Атауы</w:t>
      </w:r>
    </w:p>
    <w:bookmarkEnd w:id="90"/>
    <w:p>
      <w:pPr>
        <w:spacing w:after="0"/>
        <w:ind w:left="0"/>
        <w:jc w:val="both"/>
      </w:pPr>
      <w:bookmarkStart w:name="z489" w:id="91"/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                              Наименование 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___________________________________________________________________________</w:t>
      </w:r>
    </w:p>
    <w:bookmarkStart w:name="z49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</w:t>
      </w:r>
    </w:p>
    <w:bookmarkEnd w:id="92"/>
    <w:bookmarkStart w:name="z49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</w:t>
      </w:r>
    </w:p>
    <w:bookmarkEnd w:id="93"/>
    <w:bookmarkStart w:name="z49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94"/>
    <w:bookmarkStart w:name="z49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Электрондық почта мекенжайы</w:t>
      </w:r>
    </w:p>
    <w:bookmarkEnd w:id="95"/>
    <w:bookmarkStart w:name="z49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</w:t>
      </w:r>
    </w:p>
    <w:bookmarkEnd w:id="96"/>
    <w:bookmarkStart w:name="z49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97"/>
    <w:bookmarkStart w:name="z49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Орындаушы</w:t>
      </w:r>
    </w:p>
    <w:bookmarkEnd w:id="98"/>
    <w:bookmarkStart w:name="z49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</w:t>
      </w:r>
    </w:p>
    <w:bookmarkEnd w:id="99"/>
    <w:p>
      <w:pPr>
        <w:spacing w:after="0"/>
        <w:ind w:left="0"/>
        <w:jc w:val="both"/>
      </w:pPr>
      <w:bookmarkStart w:name="z498" w:id="100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 _________________________</w:t>
      </w:r>
    </w:p>
    <w:bookmarkEnd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             қолы, телефон</w:t>
      </w:r>
    </w:p>
    <w:bookmarkStart w:name="z49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                  подпись, телефон</w:t>
      </w:r>
    </w:p>
    <w:bookmarkEnd w:id="101"/>
    <w:p>
      <w:pPr>
        <w:spacing w:after="0"/>
        <w:ind w:left="0"/>
        <w:jc w:val="both"/>
      </w:pPr>
      <w:bookmarkStart w:name="z500" w:id="102"/>
      <w:r>
        <w:rPr>
          <w:rFonts w:ascii="Times New Roman"/>
          <w:b w:val="false"/>
          <w:i w:val="false"/>
          <w:color w:val="000000"/>
          <w:sz w:val="28"/>
        </w:rPr>
        <w:t>
      Басшы немесе оның міндетін атқарушы адам _________________________</w:t>
      </w:r>
    </w:p>
    <w:bookmarkEnd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 қолы</w:t>
      </w:r>
    </w:p>
    <w:p>
      <w:pPr>
        <w:spacing w:after="0"/>
        <w:ind w:left="0"/>
        <w:jc w:val="both"/>
      </w:pPr>
      <w:bookmarkStart w:name="z501" w:id="103"/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тегі, аты және әкесінің аты (бар болған жағдайда)</w:t>
      </w:r>
    </w:p>
    <w:bookmarkStart w:name="z50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фамилия, имя и отчество (при его наличии)</w:t>
      </w:r>
    </w:p>
    <w:bookmarkEnd w:id="104"/>
    <w:bookmarkStart w:name="z50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Мөрдің орны (жеке кәсіпкерлер болып табылатын тұлғаларды қоспағанда)</w:t>
      </w:r>
    </w:p>
    <w:bookmarkEnd w:id="105"/>
    <w:bookmarkStart w:name="z50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(за исключением лиц, являющихся субъектами частного предпринимательства)</w:t>
      </w:r>
    </w:p>
    <w:bookmarkEnd w:id="10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"Информация по проектам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единой карты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индустриализации"</w:t>
            </w:r>
          </w:p>
        </w:tc>
      </w:tr>
    </w:tbl>
    <w:bookmarkStart w:name="z506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"Информация по проектам единой карты индустриализации"</w:t>
      </w:r>
    </w:p>
    <w:bookmarkEnd w:id="107"/>
    <w:bookmarkStart w:name="z507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8"/>
    <w:bookmarkStart w:name="z50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 "Информация по проектам единой карты индустриализации" (далее – Форма).</w:t>
      </w:r>
    </w:p>
    <w:bookmarkEnd w:id="109"/>
    <w:bookmarkStart w:name="z50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 ответственными хозяйствующими субъектами, деятельность которых связана с промышленностью (далее – хозяйствующие субъекты), местными исполнительными органами (акиматы) районов (городов областного значения), местными исполнительными органами (акиматы) столицы, областей, городов республиканского значения, центральными государственными органами.</w:t>
      </w:r>
    </w:p>
    <w:bookmarkEnd w:id="110"/>
    <w:bookmarkStart w:name="z51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исполнителем и руководителем, или лицом, исполняющим его обязанности.</w:t>
      </w:r>
    </w:p>
    <w:bookmarkEnd w:id="111"/>
    <w:bookmarkStart w:name="z51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представляется в Министерство промышленности и строительства Республики Казахстан:</w:t>
      </w:r>
    </w:p>
    <w:bookmarkEnd w:id="112"/>
    <w:bookmarkStart w:name="z51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хозяйствующими субъектами в местные исполнительные органы (акиматы) районов (городов областного значения) ежеквартально до 10 числа месяца, следующего за отчетным кварталом;</w:t>
      </w:r>
    </w:p>
    <w:bookmarkEnd w:id="113"/>
    <w:bookmarkStart w:name="z51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местными исполнительными органами (акиматами) районов, городов областного значения в местные исполнительные органы (акиматы) столицы, областей, городов республиканского значения ежеквартально до 15 числа месяца, следующего за отчетным кварталом;</w:t>
      </w:r>
    </w:p>
    <w:bookmarkEnd w:id="114"/>
    <w:bookmarkStart w:name="z51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местными исполнительными органами (акиматами) столицы, областей, городов республиканского значения и центральными государственными органами в Министерство промышленности и строительства Республики Казахстан</w:t>
      </w:r>
    </w:p>
    <w:bookmarkEnd w:id="115"/>
    <w:bookmarkStart w:name="z51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ежеквартально до 20 числа месяца, следующего за отчетным кварталом.</w:t>
      </w:r>
    </w:p>
    <w:bookmarkEnd w:id="116"/>
    <w:bookmarkStart w:name="z51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казахском и русском языках.</w:t>
      </w:r>
    </w:p>
    <w:bookmarkEnd w:id="117"/>
    <w:bookmarkStart w:name="z51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Глава 2. Пояснение по заполнению Формы</w:t>
      </w:r>
    </w:p>
    <w:bookmarkEnd w:id="118"/>
    <w:bookmarkStart w:name="z51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1 Формы указывается порядковый номер проекта.</w:t>
      </w:r>
    </w:p>
    <w:bookmarkEnd w:id="119"/>
    <w:bookmarkStart w:name="z51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2 Формы указывается наименование проекта.</w:t>
      </w:r>
    </w:p>
    <w:bookmarkEnd w:id="120"/>
    <w:bookmarkStart w:name="z52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3 Формы указывается заявитель проекта.</w:t>
      </w:r>
    </w:p>
    <w:bookmarkEnd w:id="121"/>
    <w:bookmarkStart w:name="z52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4 Формы указывается бизнес-идентификационный номер/ индивидуальный идентификационный номер заявителя проекта.</w:t>
      </w:r>
    </w:p>
    <w:bookmarkEnd w:id="122"/>
    <w:bookmarkStart w:name="z52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5 Формы указывается учредитель (-и) проекта с указанием страны и доли участия в проекте согласно уставу.</w:t>
      </w:r>
    </w:p>
    <w:bookmarkEnd w:id="123"/>
    <w:bookmarkStart w:name="z52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6 Формы указывается ответственные хозяйствующие субъекты, деятельность которых связана с промышленностью (далее – хозяйствующие субъекты), местные исполнительные органы (акиматы) районов (городов областного значения), местные исполнительные органы (акиматы) столицы, областей, городов республиканского значения, центральные государственные органы.</w:t>
      </w:r>
    </w:p>
    <w:bookmarkEnd w:id="124"/>
    <w:bookmarkStart w:name="z52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7 Формы указывается цель проекта – новое производство или расширение и/или модернизация существующего производства.</w:t>
      </w:r>
    </w:p>
    <w:bookmarkEnd w:id="125"/>
    <w:bookmarkStart w:name="z52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8 Формы указывается Общий классификатор видов экономической деятельности (ОКЭД).</w:t>
      </w:r>
    </w:p>
    <w:bookmarkEnd w:id="126"/>
    <w:bookmarkStart w:name="z52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9 Формы указывается раздел вида экономической деятельности проекта.</w:t>
      </w:r>
    </w:p>
    <w:bookmarkEnd w:id="127"/>
    <w:bookmarkStart w:name="z52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10 Формы указывается область, город, район, где реализуется проект согласно Классификатору административно-территориальных объектов.</w:t>
      </w:r>
    </w:p>
    <w:bookmarkEnd w:id="128"/>
    <w:bookmarkStart w:name="z52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графе 11 Формы указывается код по Классификатору административно-территориальных объектов.</w:t>
      </w:r>
    </w:p>
    <w:bookmarkEnd w:id="129"/>
    <w:bookmarkStart w:name="z52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графе 12 Формы указывается наименование вида оказанной меры государственного стимулирования.</w:t>
      </w:r>
    </w:p>
    <w:bookmarkEnd w:id="130"/>
    <w:bookmarkStart w:name="z53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графе 13 Формы указывается оказанные меры государственного стимулирования в стоимостном выражении в миллионах теңге.</w:t>
      </w:r>
    </w:p>
    <w:bookmarkEnd w:id="131"/>
    <w:bookmarkStart w:name="z53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графе 14 Формы указывается количество созданных либо планируемых рабочих мест на период строительства проекта.</w:t>
      </w:r>
    </w:p>
    <w:bookmarkEnd w:id="132"/>
    <w:bookmarkStart w:name="z53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графе 15 Формы указывается количество созданных либо планируемых рабочих мест на период эксплуатации в соответствии с проектной документацией или паспортом проекта.</w:t>
      </w:r>
    </w:p>
    <w:bookmarkEnd w:id="133"/>
    <w:bookmarkStart w:name="z53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графе 16 Формы указывается общий планируемый объем инвестиций в проект в миллионах теңге.</w:t>
      </w:r>
    </w:p>
    <w:bookmarkEnd w:id="134"/>
    <w:bookmarkStart w:name="z53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 графе 17 Формы указывается планируемый объем инвестиций в проект по годам в миллионах теңге.</w:t>
      </w:r>
    </w:p>
    <w:bookmarkEnd w:id="135"/>
    <w:bookmarkStart w:name="z53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 графе 18 Формы указывается общий фактический объем инвестиций в проект в миллионах теңге.</w:t>
      </w:r>
    </w:p>
    <w:bookmarkEnd w:id="136"/>
    <w:bookmarkStart w:name="z53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графе 19 Формы указывается фактический объем инвестиций в проект по годам в миллионах теңге.</w:t>
      </w:r>
    </w:p>
    <w:bookmarkEnd w:id="137"/>
    <w:bookmarkStart w:name="z53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 графе 20 Формы указывается собственные средства в проект в миллионах теңге.</w:t>
      </w:r>
    </w:p>
    <w:bookmarkEnd w:id="138"/>
    <w:bookmarkStart w:name="z53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В графе 21 Формы указывается заемные средства банков второго уровня в миллионах теңге.</w:t>
      </w:r>
    </w:p>
    <w:bookmarkEnd w:id="139"/>
    <w:bookmarkStart w:name="z53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 графе 22 Формы указывается бюджетные средства операторов мер государственной стимулирования и национальных компаний в миллионах теңге.</w:t>
      </w:r>
    </w:p>
    <w:bookmarkEnd w:id="140"/>
    <w:bookmarkStart w:name="z54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В графе 23 Формы указывается дополнительная потребность в финансировании по проекту в миллионах теңге.</w:t>
      </w:r>
    </w:p>
    <w:bookmarkEnd w:id="141"/>
    <w:bookmarkStart w:name="z54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В графе 24 Формы указывается наименования выпускаемой продукции в рамках проекта.</w:t>
      </w:r>
    </w:p>
    <w:bookmarkEnd w:id="142"/>
    <w:bookmarkStart w:name="z54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В графе 25 Формы указывается мощность проекта в натуральном выражении в соответствии с проектной документацией или паспортом проекта, с указанием единиц измерения.</w:t>
      </w:r>
    </w:p>
    <w:bookmarkEnd w:id="143"/>
    <w:bookmarkStart w:name="z54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В графе 26 Формы указывается мощность проекта в стоимостном выражении в соответствии с проектной документацией или паспортом проекта в миллионах теңге.</w:t>
      </w:r>
    </w:p>
    <w:bookmarkEnd w:id="144"/>
    <w:bookmarkStart w:name="z54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В графе 27 Формы указывается дата начала строительства проекта.</w:t>
      </w:r>
    </w:p>
    <w:bookmarkEnd w:id="145"/>
    <w:bookmarkStart w:name="z54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В графе 28 Формы указывается дата ввода в эксплуатацию проекта согласно акту ввода в эксплуатацию или акту приемки оборудования.</w:t>
      </w:r>
    </w:p>
    <w:bookmarkEnd w:id="146"/>
    <w:bookmarkStart w:name="z54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 графе 29 Формы указывается объем произведенной продукции в натуральном выражении с указанием единиц измерения по годам.</w:t>
      </w:r>
    </w:p>
    <w:bookmarkEnd w:id="147"/>
    <w:bookmarkStart w:name="z547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 графе 30 Формы указывается объем произведенной продукции в стоимостном выражении по годам в миллионах теңге.</w:t>
      </w:r>
    </w:p>
    <w:bookmarkEnd w:id="148"/>
    <w:bookmarkStart w:name="z548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В графе 31 Формы указывается проблемные вопросы инвесторов, с проработкой путей их разрешения.</w:t>
      </w:r>
    </w:p>
    <w:bookmarkEnd w:id="149"/>
    <w:bookmarkStart w:name="z549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В графе 32 Формы указывается орган, ответственный за обработку показателей реализации проектов посредством сверки с информационными системами других государственных органов.</w:t>
      </w:r>
    </w:p>
    <w:bookmarkEnd w:id="150"/>
    <w:bookmarkStart w:name="z55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В графе 33 Формы указывается текущее состояние проекта, включающее информацию по объемам выполненных строительных работ (услуг), поставке и монтажу оборудования и проведенным или планируемым работам, по освоению инвестиций и/ или освоение проектных мощностей.</w:t>
      </w:r>
    </w:p>
    <w:bookmarkEnd w:id="151"/>
    <w:bookmarkStart w:name="z551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В графе 34 Формы указывается контакты заявителя проекта (ФИО, телефон).</w:t>
      </w:r>
    </w:p>
    <w:bookmarkEnd w:id="152"/>
    <w:bookmarkStart w:name="z552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153"/>
    <w:bookmarkStart w:name="z55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БИН – бизнес-идентификационный номер.</w:t>
      </w:r>
    </w:p>
    <w:bookmarkEnd w:id="154"/>
    <w:bookmarkStart w:name="z554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ИИН-индивидуальный идентификационный номер.</w:t>
      </w:r>
    </w:p>
    <w:bookmarkEnd w:id="155"/>
    <w:bookmarkStart w:name="z55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ФИО – фамилия, имя, отчество (при его наличии).</w:t>
      </w:r>
    </w:p>
    <w:bookmarkEnd w:id="156"/>
    <w:bookmarkStart w:name="z556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ОКЭД – Общий классификатор видов экономической деятельности.</w:t>
      </w:r>
    </w:p>
    <w:bookmarkEnd w:id="15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промышленно-инновационных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единой карты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индустриализации</w:t>
            </w:r>
          </w:p>
        </w:tc>
      </w:tr>
    </w:tbl>
    <w:bookmarkStart w:name="z110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Согласие на распространение первичных статистических данных (заполняется на бланке заявителя проекта)</w:t>
      </w:r>
    </w:p>
    <w:bookmarkEnd w:id="158"/>
    <w:p>
      <w:pPr>
        <w:spacing w:after="0"/>
        <w:ind w:left="0"/>
        <w:jc w:val="both"/>
      </w:pPr>
      <w:bookmarkStart w:name="z111" w:id="159"/>
      <w:r>
        <w:rPr>
          <w:rFonts w:ascii="Times New Roman"/>
          <w:b w:val="false"/>
          <w:i w:val="false"/>
          <w:color w:val="000000"/>
          <w:sz w:val="28"/>
        </w:rPr>
        <w:t>
             ___________________________________________________________________</w:t>
      </w:r>
    </w:p>
    <w:bookmarkEnd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</w:t>
      </w:r>
      <w:r>
        <w:rPr>
          <w:rFonts w:ascii="Times New Roman"/>
          <w:b w:val="false"/>
          <w:i/>
          <w:color w:val="000000"/>
          <w:sz w:val="28"/>
        </w:rPr>
        <w:t>полное наименование субъекта промышленно-инновационной деятельности</w:t>
      </w:r>
      <w:r>
        <w:rPr>
          <w:rFonts w:ascii="Times New Roman"/>
          <w:b w:val="false"/>
          <w:i w:val="false"/>
          <w:color w:val="000000"/>
          <w:sz w:val="28"/>
        </w:rPr>
        <w:t>)</w:t>
      </w:r>
    </w:p>
    <w:p>
      <w:pPr>
        <w:spacing w:after="0"/>
        <w:ind w:left="0"/>
        <w:jc w:val="both"/>
      </w:pPr>
      <w:bookmarkStart w:name="z112" w:id="160"/>
      <w:r>
        <w:rPr>
          <w:rFonts w:ascii="Times New Roman"/>
          <w:b w:val="false"/>
          <w:i w:val="false"/>
          <w:color w:val="000000"/>
          <w:sz w:val="28"/>
        </w:rPr>
        <w:t>
      дает согласие на раскрытие первичных статистических данных ответственному</w:t>
      </w:r>
    </w:p>
    <w:bookmarkEnd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государственному органу, уполномоченному органу,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органов) по следующим формам: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 период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показателям: 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Заявителя проекта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</w:t>
      </w:r>
      <w:r>
        <w:rPr>
          <w:rFonts w:ascii="Times New Roman"/>
          <w:b w:val="false"/>
          <w:i/>
          <w:color w:val="000000"/>
          <w:sz w:val="28"/>
        </w:rPr>
        <w:t>подпись) (Фамилия, имя, отчество (при его наличии)Место печати (при наличии</w:t>
      </w:r>
      <w:r>
        <w:rPr>
          <w:rFonts w:ascii="Times New Roman"/>
          <w:b w:val="false"/>
          <w:i w:val="false"/>
          <w:color w:val="000000"/>
          <w:sz w:val="28"/>
        </w:rPr>
        <w:t>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промышленно-инновационных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единой карты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индустриализации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заявителя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"___" __________ 20__ года</w:t>
            </w:r>
          </w:p>
        </w:tc>
      </w:tr>
    </w:tbl>
    <w:bookmarkStart w:name="z115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План-график реализации проекта</w:t>
      </w:r>
    </w:p>
    <w:bookmarkEnd w:id="1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мероприятия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исполнения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промышленно-инновационных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единой карты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индустриализации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заявителя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"___" __________ 20__ года</w:t>
            </w:r>
          </w:p>
        </w:tc>
      </w:tr>
    </w:tbl>
    <w:bookmarkStart w:name="z118" w:id="1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Дорожная карта проекта</w:t>
      </w:r>
    </w:p>
    <w:bookmarkEnd w:id="1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мероприятия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исполнения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завершения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орган или организация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