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3c93" w14:textId="6633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2022 года № 32. Зарегистрировано в Министерстве юстиции Республики Казахстан 16 мая 2022 года № 28060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"26-2. Переходный период – период, в течение которого осуществляется переход к новому целевому стратегическому распределению активов сберегательного портфеля.";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Эталонным портфелем для портфеля акций в активном управлении является индекс MSCI World ex Sweden Index – специализированный индекс, состоящий из акций компаний развитых стран мира, составляемый компанией Morgan Stanley Capital International.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Эталонный портфель для портфеля акций в пассивном управлении включает следующие индексы: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MSCI World ex Sweden Index – до 100 (ста) процентов;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MSCI World ex Sweden Minimum Volatility Index – до 10 (десяти) процентов;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MSCI World ex Sweden Quality Index – до 20 (двадцати) процентов;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MSCI World ex Sweden ESG Leaders Index – до 20 (двадцати) процентов.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Показателем доходности, рассчитываемой ежедневно, является доходность индекса с учетом реинвестирования дивидендов без учета налогов.";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Инвестирование не менее 80 (восьмидесяти) процентов от рыночной стоимости портфеля акций осуществляется с помощью внешних управляющих активами Фонда.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Производные финансовые инструменты для хеджирования портфеля акций, осуществляемого Национальным Банком, не учитываются в расчете лимита, определенного в части первой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Хеджирование портфеля акций, осуществляемое Национальным Банком с помощью производных финансовых инструментов, проводится для минимизации убытков и (или) приближения портфеля акций к целевому стратегическому распределению активов сберегательного портфеля.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номинальных стоимостей в абсолютных значениях всех позиций по производным финансовым инструментам для хеджирования портфеля акций, осуществляемого Национальным Банком, на момент заключения сделок не превышает 100 (ста) процентов от рыночной стоимости портфеля акций.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Производные финансовые инструменты для хеджирования портфеля акций, осуществляемого Национальным Банком, не учитываются в расчете ожидаемой изменчивости отклонения доходности.";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55-3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"55-3. Ожидаемая изменчивость отклонения доходности портфеля акций в активном управлении (ex-ante tracking error) с учетом входящих в него производных финансовых инструментов не превышает 7 (семи) процентов годовых.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ограничения, предусмотренного частью первой настоящего пункта, Национальный Банк устраняет несоответствие в срок не более 15 (пятнадцати) рабочих дней со дня превышения.";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(Турсунханов Н.А.)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 Молдабекову А.М.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Секторное распределение стабилизационного портфеля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(для производных финансовых инструментов используется рыночная стоимость лежащих в их основе финансовых инструментов)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максимум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(остатки на текущих счетах; деньги, размещенные в фонды денежного рынка с возможностью возврата на следующий рабочий день), государственные ценные бумаги стран, входящих в эталонный портфель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стран, не входящих в эталонный индекс, агентские долговые обязательства, долговые обязательства международных финансовых организаций, в том числе Банка международных расчҰтов, муниципальные долговые обязательства стран, входящих в эталонный портфель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(вклады), в том числе деньги, размещенные на депозиты (вклады) от операций репо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финансовые инструменты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Корпоративные ценные бумаги, коммерческие ценные бумаги, депозитные сертификаты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