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11e1" w14:textId="9e61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13 апреля 2022 года № 403. Зарегистрирован в Министерстве юстиции Республики Казахстан 14 апреля 2022 года № 27558.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 (зарегистрирован в Реестре государственной регистрации нормативных правовых актов под № 16534)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системы управления рисками по критериям, не являющимся конфиденциальной информацией,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2022 года № 403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252</w:t>
            </w:r>
          </w:p>
        </w:tc>
      </w:tr>
    </w:tbl>
    <w:bookmarkStart w:name="z17" w:id="8"/>
    <w:p>
      <w:pPr>
        <w:spacing w:after="0"/>
        <w:ind w:left="0"/>
        <w:jc w:val="left"/>
      </w:pPr>
      <w:r>
        <w:rPr>
          <w:rFonts w:ascii="Times New Roman"/>
          <w:b/>
          <w:i w:val="false"/>
          <w:color w:val="000000"/>
        </w:rPr>
        <w:t xml:space="preserve"> Правила применения системы управления рисками по критериям, не являющимся конфиденциальной информацией</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применения системы управления рисками по критериям, не являющимся конфиденциальной информацией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(далее – Налоговый кодекс) и определяют порядок применения органами государственных доходов системы управления рисками по критериям, не являющимся конфиденциальной информацией.</w:t>
      </w:r>
    </w:p>
    <w:bookmarkEnd w:id="10"/>
    <w:bookmarkStart w:name="z20"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1" w:id="12"/>
    <w:p>
      <w:pPr>
        <w:spacing w:after="0"/>
        <w:ind w:left="0"/>
        <w:jc w:val="both"/>
      </w:pPr>
      <w:r>
        <w:rPr>
          <w:rFonts w:ascii="Times New Roman"/>
          <w:b w:val="false"/>
          <w:i w:val="false"/>
          <w:color w:val="000000"/>
          <w:sz w:val="28"/>
        </w:rPr>
        <w:t>
      1) субъект категорирования – налогоплательщик (налоговый агент), подлежащий оценке степени (уровня) риска;</w:t>
      </w:r>
    </w:p>
    <w:bookmarkEnd w:id="12"/>
    <w:bookmarkStart w:name="z22" w:id="13"/>
    <w:p>
      <w:pPr>
        <w:spacing w:after="0"/>
        <w:ind w:left="0"/>
        <w:jc w:val="both"/>
      </w:pP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13"/>
    <w:bookmarkStart w:name="z23" w:id="14"/>
    <w:p>
      <w:pPr>
        <w:spacing w:after="0"/>
        <w:ind w:left="0"/>
        <w:jc w:val="both"/>
      </w:pPr>
      <w:r>
        <w:rPr>
          <w:rFonts w:ascii="Times New Roman"/>
          <w:b w:val="false"/>
          <w:i w:val="false"/>
          <w:color w:val="000000"/>
          <w:sz w:val="28"/>
        </w:rPr>
        <w:t>
      3) система управления рисками – комплекс мероприятий, проводимый органами государственных доходов в целях выявления и предупреждения риска.</w:t>
      </w:r>
    </w:p>
    <w:bookmarkEnd w:id="14"/>
    <w:bookmarkStart w:name="z24" w:id="15"/>
    <w:p>
      <w:pPr>
        <w:spacing w:after="0"/>
        <w:ind w:left="0"/>
        <w:jc w:val="both"/>
      </w:pPr>
      <w:r>
        <w:rPr>
          <w:rFonts w:ascii="Times New Roman"/>
          <w:b w:val="false"/>
          <w:i w:val="false"/>
          <w:color w:val="000000"/>
          <w:sz w:val="28"/>
        </w:rPr>
        <w:t>
      3. Для оценки степени (уровня) рисков используются следующие источники информации:</w:t>
      </w:r>
    </w:p>
    <w:bookmarkEnd w:id="15"/>
    <w:bookmarkStart w:name="z25" w:id="16"/>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категорирования, в том числе посредством автоматизированных систем;</w:t>
      </w:r>
    </w:p>
    <w:bookmarkEnd w:id="16"/>
    <w:bookmarkStart w:name="z26" w:id="17"/>
    <w:p>
      <w:pPr>
        <w:spacing w:after="0"/>
        <w:ind w:left="0"/>
        <w:jc w:val="both"/>
      </w:pPr>
      <w:r>
        <w:rPr>
          <w:rFonts w:ascii="Times New Roman"/>
          <w:b w:val="false"/>
          <w:i w:val="false"/>
          <w:color w:val="000000"/>
          <w:sz w:val="28"/>
        </w:rPr>
        <w:t>
      2) результаты проверок;</w:t>
      </w:r>
    </w:p>
    <w:bookmarkEnd w:id="17"/>
    <w:bookmarkStart w:name="z27" w:id="18"/>
    <w:p>
      <w:pPr>
        <w:spacing w:after="0"/>
        <w:ind w:left="0"/>
        <w:jc w:val="both"/>
      </w:pPr>
      <w:r>
        <w:rPr>
          <w:rFonts w:ascii="Times New Roman"/>
          <w:b w:val="false"/>
          <w:i w:val="false"/>
          <w:color w:val="000000"/>
          <w:sz w:val="28"/>
        </w:rPr>
        <w:t>
      3) результаты иных форм контроля;</w:t>
      </w:r>
    </w:p>
    <w:bookmarkEnd w:id="18"/>
    <w:bookmarkStart w:name="z28" w:id="19"/>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w:t>
      </w:r>
    </w:p>
    <w:bookmarkEnd w:id="19"/>
    <w:bookmarkStart w:name="z29" w:id="20"/>
    <w:p>
      <w:pPr>
        <w:spacing w:after="0"/>
        <w:ind w:left="0"/>
        <w:jc w:val="left"/>
      </w:pPr>
      <w:r>
        <w:rPr>
          <w:rFonts w:ascii="Times New Roman"/>
          <w:b/>
          <w:i w:val="false"/>
          <w:color w:val="000000"/>
        </w:rPr>
        <w:t xml:space="preserve"> Глава 2. Порядок и сроки информирования налогоплательщиков о результатах категорирования</w:t>
      </w:r>
    </w:p>
    <w:bookmarkEnd w:id="20"/>
    <w:bookmarkStart w:name="z30" w:id="21"/>
    <w:p>
      <w:pPr>
        <w:spacing w:after="0"/>
        <w:ind w:left="0"/>
        <w:jc w:val="both"/>
      </w:pPr>
      <w:r>
        <w:rPr>
          <w:rFonts w:ascii="Times New Roman"/>
          <w:b w:val="false"/>
          <w:i w:val="false"/>
          <w:color w:val="000000"/>
          <w:sz w:val="28"/>
        </w:rPr>
        <w:t>
      4. Информация к какой степени (уровню) риска отнесен налогоплательщик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(далее – сайт) http://kgd.gov.kz и в web-приложении "Кабинет налогоплательщика" информация о результатах категорирования налогоплательщика по форме согласно приложению 1 к настоящим Правилам.</w:t>
      </w:r>
    </w:p>
    <w:bookmarkEnd w:id="21"/>
    <w:bookmarkStart w:name="z31" w:id="22"/>
    <w:p>
      <w:pPr>
        <w:spacing w:after="0"/>
        <w:ind w:left="0"/>
        <w:jc w:val="both"/>
      </w:pPr>
      <w:r>
        <w:rPr>
          <w:rFonts w:ascii="Times New Roman"/>
          <w:b w:val="false"/>
          <w:i w:val="false"/>
          <w:color w:val="000000"/>
          <w:sz w:val="28"/>
        </w:rPr>
        <w:t>
      5. Информирование налогоплательщика, предусмотренное пунктом 4 настоящих Правил, осуществляется не позднее первого числа первого месяца полугодия, на который производится категорирование налогоплательщиков, с 1 января 2019 года посредством web-приложения "Кабинет налогоплательщика" и с 1 июля 2019 года посредством обработки запроса на сайте.</w:t>
      </w:r>
    </w:p>
    <w:bookmarkEnd w:id="22"/>
    <w:bookmarkStart w:name="z32" w:id="23"/>
    <w:p>
      <w:pPr>
        <w:spacing w:after="0"/>
        <w:ind w:left="0"/>
        <w:jc w:val="both"/>
      </w:pPr>
      <w:r>
        <w:rPr>
          <w:rFonts w:ascii="Times New Roman"/>
          <w:b w:val="false"/>
          <w:i w:val="false"/>
          <w:color w:val="000000"/>
          <w:sz w:val="28"/>
        </w:rPr>
        <w:t>
      Обработка запроса на сайте должна быть произведена в срок, не превышающий 1 (одного) рабочего дня.</w:t>
      </w:r>
    </w:p>
    <w:bookmarkEnd w:id="23"/>
    <w:bookmarkStart w:name="z33" w:id="24"/>
    <w:p>
      <w:pPr>
        <w:spacing w:after="0"/>
        <w:ind w:left="0"/>
        <w:jc w:val="left"/>
      </w:pPr>
      <w:r>
        <w:rPr>
          <w:rFonts w:ascii="Times New Roman"/>
          <w:b/>
          <w:i w:val="false"/>
          <w:color w:val="000000"/>
        </w:rPr>
        <w:t xml:space="preserve"> Глава 3. Порядок и сроки информирования налогоплательщиков о критериях, по которым деятельность такого налогоплательщика отнесена к соответствующей степени (уровню) риска</w:t>
      </w:r>
    </w:p>
    <w:bookmarkEnd w:id="24"/>
    <w:bookmarkStart w:name="z34" w:id="25"/>
    <w:p>
      <w:pPr>
        <w:spacing w:after="0"/>
        <w:ind w:left="0"/>
        <w:jc w:val="both"/>
      </w:pPr>
      <w:r>
        <w:rPr>
          <w:rFonts w:ascii="Times New Roman"/>
          <w:b w:val="false"/>
          <w:i w:val="false"/>
          <w:color w:val="000000"/>
          <w:sz w:val="28"/>
        </w:rPr>
        <w:t>
      6. Сведения о критериях и показатели, на основании которых осуществлен расчет критериев, не являющихся конфиденциальной информацией, применяемых в системе управления рисками, направляются налогоплательщикам в web-приложение "Кабинет налогоплательщика" по формам согласно приложениям 2 и 3 к настоящим Правилам не позднее первого числа первого месяца полугодия, на который производится категорирование налогоплательщиков.</w:t>
      </w:r>
    </w:p>
    <w:bookmarkEnd w:id="25"/>
    <w:bookmarkStart w:name="z35" w:id="26"/>
    <w:p>
      <w:pPr>
        <w:spacing w:after="0"/>
        <w:ind w:left="0"/>
        <w:jc w:val="both"/>
      </w:pPr>
      <w:r>
        <w:rPr>
          <w:rFonts w:ascii="Times New Roman"/>
          <w:b w:val="false"/>
          <w:i w:val="false"/>
          <w:color w:val="000000"/>
          <w:sz w:val="28"/>
        </w:rPr>
        <w:t>
      7. Информирование налогоплательщика осуществляется в соответствии с подпунктом 3) пункта 3 статьи 137 Налогового кодекса и в порядке, предусмотренном пунктом 6 настоящих Правил, с 1 января 2019 года, за исключением физического лица, информирование которого осуществляется с 1 января 2023 года.</w:t>
      </w:r>
    </w:p>
    <w:bookmarkEnd w:id="26"/>
    <w:bookmarkStart w:name="z36" w:id="27"/>
    <w:p>
      <w:pPr>
        <w:spacing w:after="0"/>
        <w:ind w:left="0"/>
        <w:jc w:val="both"/>
      </w:pPr>
      <w:r>
        <w:rPr>
          <w:rFonts w:ascii="Times New Roman"/>
          <w:b w:val="false"/>
          <w:i w:val="false"/>
          <w:color w:val="000000"/>
          <w:sz w:val="28"/>
        </w:rPr>
        <w:t>
      8. Расчет критериев, не являющихся конфиденциальной информацией, осуществляется по данным, имеющимся в органах государственных доходов по состоянию на первое число третьего месяца, предшествующего полугодию, на который производится категорирование налогоплательщиков.</w:t>
      </w:r>
    </w:p>
    <w:bookmarkEnd w:id="27"/>
    <w:bookmarkStart w:name="z37" w:id="28"/>
    <w:p>
      <w:pPr>
        <w:spacing w:after="0"/>
        <w:ind w:left="0"/>
        <w:jc w:val="both"/>
      </w:pPr>
      <w:r>
        <w:rPr>
          <w:rFonts w:ascii="Times New Roman"/>
          <w:b w:val="false"/>
          <w:i w:val="false"/>
          <w:color w:val="000000"/>
          <w:sz w:val="28"/>
        </w:rPr>
        <w:t>
      9. Налогоплательщики по собственной инициативе направляют пояснения по критериям, не являющимся конфиденциальной информацией, в органы государственных доходов посредством web-приложения "Кабинет налогоплательщика".</w:t>
      </w:r>
    </w:p>
    <w:bookmarkEnd w:id="28"/>
    <w:bookmarkStart w:name="z38" w:id="29"/>
    <w:p>
      <w:pPr>
        <w:spacing w:after="0"/>
        <w:ind w:left="0"/>
        <w:jc w:val="both"/>
      </w:pPr>
      <w:r>
        <w:rPr>
          <w:rFonts w:ascii="Times New Roman"/>
          <w:b w:val="false"/>
          <w:i w:val="false"/>
          <w:color w:val="000000"/>
          <w:sz w:val="28"/>
        </w:rPr>
        <w:t>
      10. Полученные органами государственных доходов пояснения, предусмотренные пунктом 9 настоящих Правил, при обоснованности подлежат учету при применении системы управления рисками, с направлением в web-приложение "Кабинет налогоплательщика" измененных сведений по формам согласно приложениям 1, 2 и 3 к настоящим Правилам.</w:t>
      </w:r>
    </w:p>
    <w:bookmarkEnd w:id="29"/>
    <w:bookmarkStart w:name="z39" w:id="30"/>
    <w:p>
      <w:pPr>
        <w:spacing w:after="0"/>
        <w:ind w:left="0"/>
        <w:jc w:val="left"/>
      </w:pPr>
      <w:r>
        <w:rPr>
          <w:rFonts w:ascii="Times New Roman"/>
          <w:b/>
          <w:i w:val="false"/>
          <w:color w:val="000000"/>
        </w:rPr>
        <w:t xml:space="preserve"> Глава 4. Периодичность актуализации информации о степени (уровне) риска налогоплательщиков</w:t>
      </w:r>
    </w:p>
    <w:bookmarkEnd w:id="30"/>
    <w:bookmarkStart w:name="z40" w:id="31"/>
    <w:p>
      <w:pPr>
        <w:spacing w:after="0"/>
        <w:ind w:left="0"/>
        <w:jc w:val="both"/>
      </w:pPr>
      <w:r>
        <w:rPr>
          <w:rFonts w:ascii="Times New Roman"/>
          <w:b w:val="false"/>
          <w:i w:val="false"/>
          <w:color w:val="000000"/>
          <w:sz w:val="28"/>
        </w:rPr>
        <w:t>
      11. Степень (уровень) риска субъекта категорирования рассчитывается по критериям оценки степени (уровня) риска, не являющимся конфиденциальной информацией, и критериям оценки степени (уровня) риска, являющимся конфиденциальной (служебной) информацией, и актуализируется раз в полугодие.</w:t>
      </w:r>
    </w:p>
    <w:bookmarkEnd w:id="31"/>
    <w:bookmarkStart w:name="z41" w:id="32"/>
    <w:p>
      <w:pPr>
        <w:spacing w:after="0"/>
        <w:ind w:left="0"/>
        <w:jc w:val="both"/>
      </w:pPr>
      <w:r>
        <w:rPr>
          <w:rFonts w:ascii="Times New Roman"/>
          <w:b w:val="false"/>
          <w:i w:val="false"/>
          <w:color w:val="000000"/>
          <w:sz w:val="28"/>
        </w:rPr>
        <w:t>
      По налогоплательщикам, по которым определена низкая степень (уровень) риска, при непогашении налоговой задолженности и (или) задолженности по социальным платежам более 30 (тридцати) календарных дней, степень (уровень) риска подлежит актуализации не реже 1 (одного) раза в месяц.</w:t>
      </w:r>
    </w:p>
    <w:bookmarkEnd w:id="32"/>
    <w:bookmarkStart w:name="z42" w:id="33"/>
    <w:p>
      <w:pPr>
        <w:spacing w:after="0"/>
        <w:ind w:left="0"/>
        <w:jc w:val="both"/>
      </w:pPr>
      <w:r>
        <w:rPr>
          <w:rFonts w:ascii="Times New Roman"/>
          <w:b w:val="false"/>
          <w:i w:val="false"/>
          <w:color w:val="000000"/>
          <w:sz w:val="28"/>
        </w:rPr>
        <w:t>
      Если налогоплательщик с категорией высокой или средней степени (уровнем) риска уплатил с начала полугодия, на которое произведено категорирование, налогов и других обязательных платежей в бюджет на сумму более чем 75 (семьдесят пять) миллионов тенге для субъектов крупного предпринимательства, 45 (сорок пять) миллионов тенге для субъектов среднего предпринимательства, 20 (двадцать) миллионов тенге для субъектов малого предпринимательства, и при этом не имеет перед бюджетом задолженности по налогам и социальным платежам, то ранее присвоенная категория степени (уровня) риска подлежит изменению на среднюю или низкую соответственно.</w:t>
      </w:r>
    </w:p>
    <w:bookmarkEnd w:id="33"/>
    <w:bookmarkStart w:name="z43" w:id="34"/>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34"/>
    <w:bookmarkStart w:name="z44" w:id="35"/>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35"/>
    <w:bookmarkStart w:name="z45" w:id="36"/>
    <w:p>
      <w:pPr>
        <w:spacing w:after="0"/>
        <w:ind w:left="0"/>
        <w:jc w:val="left"/>
      </w:pPr>
      <w:r>
        <w:rPr>
          <w:rFonts w:ascii="Times New Roman"/>
          <w:b/>
          <w:i w:val="false"/>
          <w:color w:val="000000"/>
        </w:rPr>
        <w:t xml:space="preserve"> Глава 5. Критерии степени (уровня) риска, не являющиеся конфиденциальной информацией, применяемые в отношении налогоплательщика (налогового агента), за исключением физического лица</w:t>
      </w:r>
    </w:p>
    <w:bookmarkEnd w:id="36"/>
    <w:bookmarkStart w:name="z46" w:id="37"/>
    <w:p>
      <w:pPr>
        <w:spacing w:after="0"/>
        <w:ind w:left="0"/>
        <w:jc w:val="both"/>
      </w:pPr>
      <w:r>
        <w:rPr>
          <w:rFonts w:ascii="Times New Roman"/>
          <w:b w:val="false"/>
          <w:i w:val="false"/>
          <w:color w:val="000000"/>
          <w:sz w:val="28"/>
        </w:rPr>
        <w:t xml:space="preserve">
      12. Критерий "Налоговая нагрузка" определяется на основании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февраля 2018 года № 253 "Об утверждении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(зарегистрирован в Реестре государственной регистрации нормативных правовых актов под № 16518).</w:t>
      </w:r>
    </w:p>
    <w:bookmarkEnd w:id="37"/>
    <w:bookmarkStart w:name="z47" w:id="38"/>
    <w:p>
      <w:pPr>
        <w:spacing w:after="0"/>
        <w:ind w:left="0"/>
        <w:jc w:val="both"/>
      </w:pPr>
      <w:r>
        <w:rPr>
          <w:rFonts w:ascii="Times New Roman"/>
          <w:b w:val="false"/>
          <w:i w:val="false"/>
          <w:color w:val="000000"/>
          <w:sz w:val="28"/>
        </w:rPr>
        <w:t>
      Критерий не рассчитывается по налогоплательщикам, состоящим на мониторинге крупных налогоплательщиков, участникам специальных экономических зон, и налогоплательщикам, освобождаемым от уплаты корпоративного подоходного налога.</w:t>
      </w:r>
    </w:p>
    <w:bookmarkEnd w:id="38"/>
    <w:bookmarkStart w:name="z48" w:id="39"/>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39"/>
    <w:bookmarkStart w:name="z49" w:id="40"/>
    <w:p>
      <w:pPr>
        <w:spacing w:after="0"/>
        <w:ind w:left="0"/>
        <w:jc w:val="both"/>
      </w:pPr>
      <w:r>
        <w:rPr>
          <w:rFonts w:ascii="Times New Roman"/>
          <w:b w:val="false"/>
          <w:i w:val="false"/>
          <w:color w:val="000000"/>
          <w:sz w:val="28"/>
        </w:rPr>
        <w:t>
      Базовым показателем для сопоставления является среднеотраслевой показатель налоговой нагрузки, рассчитываемый для каждого региона отдельно.</w:t>
      </w:r>
    </w:p>
    <w:bookmarkEnd w:id="40"/>
    <w:bookmarkStart w:name="z50" w:id="41"/>
    <w:p>
      <w:pPr>
        <w:spacing w:after="0"/>
        <w:ind w:left="0"/>
        <w:jc w:val="both"/>
      </w:pPr>
      <w:r>
        <w:rPr>
          <w:rFonts w:ascii="Times New Roman"/>
          <w:b w:val="false"/>
          <w:i w:val="false"/>
          <w:color w:val="000000"/>
          <w:sz w:val="28"/>
        </w:rPr>
        <w:t>
      Приоритетность критерия "Налоговая нагрузка" приведена в приложении 4 к настоящим Правилам.</w:t>
      </w:r>
    </w:p>
    <w:bookmarkEnd w:id="41"/>
    <w:bookmarkStart w:name="z51" w:id="42"/>
    <w:p>
      <w:pPr>
        <w:spacing w:after="0"/>
        <w:ind w:left="0"/>
        <w:jc w:val="both"/>
      </w:pPr>
      <w:r>
        <w:rPr>
          <w:rFonts w:ascii="Times New Roman"/>
          <w:b w:val="false"/>
          <w:i w:val="false"/>
          <w:color w:val="000000"/>
          <w:sz w:val="28"/>
        </w:rPr>
        <w:t>
      Расчет налоговой нагрузки как соотношение исчисленных налогов к налогооблагаемому доходу осуществляется как дополнительный критерий, не влияющий на степень (уровень) риска.</w:t>
      </w:r>
    </w:p>
    <w:bookmarkEnd w:id="42"/>
    <w:bookmarkStart w:name="z52" w:id="43"/>
    <w:p>
      <w:pPr>
        <w:spacing w:after="0"/>
        <w:ind w:left="0"/>
        <w:jc w:val="both"/>
      </w:pPr>
      <w:r>
        <w:rPr>
          <w:rFonts w:ascii="Times New Roman"/>
          <w:b w:val="false"/>
          <w:i w:val="false"/>
          <w:color w:val="000000"/>
          <w:sz w:val="28"/>
        </w:rPr>
        <w:t>
      Базовым показателем для сопоставления дополнительного критерия является среднеотраслевой показатель соответствующей налоговой нагрузки, рассчитываемый для каждого региона отдельно.</w:t>
      </w:r>
    </w:p>
    <w:bookmarkEnd w:id="43"/>
    <w:bookmarkStart w:name="z53" w:id="44"/>
    <w:p>
      <w:pPr>
        <w:spacing w:after="0"/>
        <w:ind w:left="0"/>
        <w:jc w:val="both"/>
      </w:pPr>
      <w:r>
        <w:rPr>
          <w:rFonts w:ascii="Times New Roman"/>
          <w:b w:val="false"/>
          <w:i w:val="false"/>
          <w:color w:val="000000"/>
          <w:sz w:val="28"/>
        </w:rPr>
        <w:t>
      13. Критерий "Среднемесячная заработная плата на одного работника" определяется как соотношение среднемесячной суммы доходов, начисленных налоговым агентом физическим лицам, к средней численности работников.</w:t>
      </w:r>
    </w:p>
    <w:bookmarkEnd w:id="44"/>
    <w:bookmarkStart w:name="z54" w:id="45"/>
    <w:p>
      <w:pPr>
        <w:spacing w:after="0"/>
        <w:ind w:left="0"/>
        <w:jc w:val="both"/>
      </w:pPr>
      <w:r>
        <w:rPr>
          <w:rFonts w:ascii="Times New Roman"/>
          <w:b w:val="false"/>
          <w:i w:val="false"/>
          <w:color w:val="000000"/>
          <w:sz w:val="28"/>
        </w:rPr>
        <w:t>
      Период, за который производится расчет, является два последних отчетных календарных квартала или последнее отчетное полугодие.</w:t>
      </w:r>
    </w:p>
    <w:bookmarkEnd w:id="45"/>
    <w:bookmarkStart w:name="z55" w:id="46"/>
    <w:p>
      <w:pPr>
        <w:spacing w:after="0"/>
        <w:ind w:left="0"/>
        <w:jc w:val="both"/>
      </w:pPr>
      <w:r>
        <w:rPr>
          <w:rFonts w:ascii="Times New Roman"/>
          <w:b w:val="false"/>
          <w:i w:val="false"/>
          <w:color w:val="000000"/>
          <w:sz w:val="28"/>
        </w:rPr>
        <w:t>
      Базовым показателем для сопоставления является среднеотраслевой показатель среднемесячной региональной заработной платы по данным органов статистики.</w:t>
      </w:r>
    </w:p>
    <w:bookmarkEnd w:id="46"/>
    <w:bookmarkStart w:name="z56" w:id="47"/>
    <w:p>
      <w:pPr>
        <w:spacing w:after="0"/>
        <w:ind w:left="0"/>
        <w:jc w:val="both"/>
      </w:pPr>
      <w:r>
        <w:rPr>
          <w:rFonts w:ascii="Times New Roman"/>
          <w:b w:val="false"/>
          <w:i w:val="false"/>
          <w:color w:val="000000"/>
          <w:sz w:val="28"/>
        </w:rPr>
        <w:t>
      Приоритетность данного критерия приведена в приложении 5 к настоящим Правилам.</w:t>
      </w:r>
    </w:p>
    <w:bookmarkEnd w:id="47"/>
    <w:bookmarkStart w:name="z57" w:id="48"/>
    <w:p>
      <w:pPr>
        <w:spacing w:after="0"/>
        <w:ind w:left="0"/>
        <w:jc w:val="both"/>
      </w:pPr>
      <w:r>
        <w:rPr>
          <w:rFonts w:ascii="Times New Roman"/>
          <w:b w:val="false"/>
          <w:i w:val="false"/>
          <w:color w:val="000000"/>
          <w:sz w:val="28"/>
        </w:rPr>
        <w:t>
      14. Критерий "Отражаемые в налоговой отчетности суммы расходов и доходов" определяется как соотношение суммы вычетов по корпоративному подоходному налогу с учетом корректировок к совокупному годовому доходу с учетом корректировок, находящееся в диапазоне от 0,98 до 1 включительно.</w:t>
      </w:r>
    </w:p>
    <w:bookmarkEnd w:id="48"/>
    <w:bookmarkStart w:name="z58" w:id="49"/>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49"/>
    <w:bookmarkStart w:name="z59" w:id="5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50"/>
    <w:bookmarkStart w:name="z60" w:id="51"/>
    <w:p>
      <w:pPr>
        <w:spacing w:after="0"/>
        <w:ind w:left="0"/>
        <w:jc w:val="both"/>
      </w:pPr>
      <w:r>
        <w:rPr>
          <w:rFonts w:ascii="Times New Roman"/>
          <w:b w:val="false"/>
          <w:i w:val="false"/>
          <w:color w:val="000000"/>
          <w:sz w:val="28"/>
        </w:rPr>
        <w:t>
      15. Критерий "Сделки с налогоплательщиками, имеющими взаиморасчеты с лицами, снятыми с регистрационного учета по налогу на добавленную стоимость, в том числе ликвидированными, бездействующими, банкротами" определяется если сумма зачета от поставщика, который представляет декларацию по налогу на добавленную стоимость с отражением поставщика, снятого с регистрационного учета по налогу на добавленную стоимость на дату представления такой декларации, превышает 20 000-кратного размера месячного расчетного показателя.</w:t>
      </w:r>
    </w:p>
    <w:bookmarkEnd w:id="51"/>
    <w:bookmarkStart w:name="z61" w:id="52"/>
    <w:p>
      <w:pPr>
        <w:spacing w:after="0"/>
        <w:ind w:left="0"/>
        <w:jc w:val="both"/>
      </w:pPr>
      <w:r>
        <w:rPr>
          <w:rFonts w:ascii="Times New Roman"/>
          <w:b w:val="false"/>
          <w:i w:val="false"/>
          <w:color w:val="000000"/>
          <w:sz w:val="28"/>
        </w:rPr>
        <w:t>
      Период, за который производится расчет, является два последних отчетных календарных квартала.</w:t>
      </w:r>
    </w:p>
    <w:bookmarkEnd w:id="52"/>
    <w:bookmarkStart w:name="z62" w:id="53"/>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53"/>
    <w:bookmarkStart w:name="z63" w:id="54"/>
    <w:p>
      <w:pPr>
        <w:spacing w:after="0"/>
        <w:ind w:left="0"/>
        <w:jc w:val="both"/>
      </w:pPr>
      <w:r>
        <w:rPr>
          <w:rFonts w:ascii="Times New Roman"/>
          <w:b w:val="false"/>
          <w:i w:val="false"/>
          <w:color w:val="000000"/>
          <w:sz w:val="28"/>
        </w:rPr>
        <w:t>
      16. Критерий "Отражение в налоговой отчетности убытков на протяжении нескольких налоговых периодов" определяется если в течение последних 3 (трех) налоговых периодов (лет) в налоговой отчетности отражается убыток.</w:t>
      </w:r>
    </w:p>
    <w:bookmarkEnd w:id="54"/>
    <w:bookmarkStart w:name="z64" w:id="55"/>
    <w:p>
      <w:pPr>
        <w:spacing w:after="0"/>
        <w:ind w:left="0"/>
        <w:jc w:val="both"/>
      </w:pPr>
      <w:r>
        <w:rPr>
          <w:rFonts w:ascii="Times New Roman"/>
          <w:b w:val="false"/>
          <w:i w:val="false"/>
          <w:color w:val="000000"/>
          <w:sz w:val="28"/>
        </w:rPr>
        <w:t>
      Для налогоплательщиков, подлежащих налоговому мониторингу, а также осуществляющих деятельность в соответствии с контрактом на недропользование, критерий определяется за последний пятилетний период.</w:t>
      </w:r>
    </w:p>
    <w:bookmarkEnd w:id="55"/>
    <w:bookmarkStart w:name="z65" w:id="56"/>
    <w:p>
      <w:pPr>
        <w:spacing w:after="0"/>
        <w:ind w:left="0"/>
        <w:jc w:val="both"/>
      </w:pPr>
      <w:r>
        <w:rPr>
          <w:rFonts w:ascii="Times New Roman"/>
          <w:b w:val="false"/>
          <w:i w:val="false"/>
          <w:color w:val="000000"/>
          <w:sz w:val="28"/>
        </w:rPr>
        <w:t xml:space="preserve">
      Из периода убыточности исключаются периоды с убытками, сформированными по причине применения вычетов по инвестиционным налоговым преференциям. </w:t>
      </w:r>
    </w:p>
    <w:bookmarkEnd w:id="56"/>
    <w:bookmarkStart w:name="z66" w:id="57"/>
    <w:p>
      <w:pPr>
        <w:spacing w:after="0"/>
        <w:ind w:left="0"/>
        <w:jc w:val="both"/>
      </w:pPr>
      <w:r>
        <w:rPr>
          <w:rFonts w:ascii="Times New Roman"/>
          <w:b w:val="false"/>
          <w:i w:val="false"/>
          <w:color w:val="000000"/>
          <w:sz w:val="28"/>
        </w:rPr>
        <w:t>
      Приоритетность критерия "Отражение в налоговой отчетности убытков на протяжении нескольких налоговых периодов" – плюс 3 балла, влияние на степень (уровень) риска – отрицательное.</w:t>
      </w:r>
    </w:p>
    <w:bookmarkEnd w:id="57"/>
    <w:bookmarkStart w:name="z67" w:id="58"/>
    <w:p>
      <w:pPr>
        <w:spacing w:after="0"/>
        <w:ind w:left="0"/>
        <w:jc w:val="both"/>
      </w:pPr>
      <w:r>
        <w:rPr>
          <w:rFonts w:ascii="Times New Roman"/>
          <w:b w:val="false"/>
          <w:i w:val="false"/>
          <w:color w:val="000000"/>
          <w:sz w:val="28"/>
        </w:rPr>
        <w:t>
      17. Критерий "Многократное внесение изменений и дополнений в ранее представленную налоговую отчетность" определяется если налогоплательщиком представлено более пяти дополнительных деклараций к уменьшению по корпоративному подоходному налогу и (или) налогу на добавленную стоимость на общую сумму более чем 10 (десять) миллионов тенге, при этом с даты, установленной для представления таких деклараций, истекло двенадцать и более месяцев.</w:t>
      </w:r>
    </w:p>
    <w:bookmarkEnd w:id="58"/>
    <w:bookmarkStart w:name="z68" w:id="59"/>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59"/>
    <w:bookmarkStart w:name="z69" w:id="60"/>
    <w:p>
      <w:pPr>
        <w:spacing w:after="0"/>
        <w:ind w:left="0"/>
        <w:jc w:val="both"/>
      </w:pPr>
      <w:r>
        <w:rPr>
          <w:rFonts w:ascii="Times New Roman"/>
          <w:b w:val="false"/>
          <w:i w:val="false"/>
          <w:color w:val="000000"/>
          <w:sz w:val="28"/>
        </w:rPr>
        <w:t>
      Критерий не применяется по налогоплательщикам, состоящим на мониторинге крупных налогоплательщиков, а также по налогоплательщикам, имеющим филиалы и (или) представительства.</w:t>
      </w:r>
    </w:p>
    <w:bookmarkEnd w:id="60"/>
    <w:bookmarkStart w:name="z70" w:id="61"/>
    <w:p>
      <w:pPr>
        <w:spacing w:after="0"/>
        <w:ind w:left="0"/>
        <w:jc w:val="both"/>
      </w:pPr>
      <w:r>
        <w:rPr>
          <w:rFonts w:ascii="Times New Roman"/>
          <w:b w:val="false"/>
          <w:i w:val="false"/>
          <w:color w:val="000000"/>
          <w:sz w:val="28"/>
        </w:rPr>
        <w:t>
      Приоритетность критерия "Многократное внесение изменений и дополнений в ранее представленную налоговую отчетность" – плюс 4 балла, влияние на степень (уровень) риска – отрицательное.</w:t>
      </w:r>
    </w:p>
    <w:bookmarkEnd w:id="61"/>
    <w:bookmarkStart w:name="z71" w:id="62"/>
    <w:p>
      <w:pPr>
        <w:spacing w:after="0"/>
        <w:ind w:left="0"/>
        <w:jc w:val="both"/>
      </w:pPr>
      <w:r>
        <w:rPr>
          <w:rFonts w:ascii="Times New Roman"/>
          <w:b w:val="false"/>
          <w:i w:val="false"/>
          <w:color w:val="000000"/>
          <w:sz w:val="28"/>
        </w:rPr>
        <w:t>
      18.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статьей 96 Налогового кодекса для исполнения, истекло 15 (пятнадцать) и более календарных дней.</w:t>
      </w:r>
    </w:p>
    <w:bookmarkEnd w:id="62"/>
    <w:bookmarkStart w:name="z72" w:id="63"/>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63"/>
    <w:bookmarkStart w:name="z73" w:id="64"/>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64"/>
    <w:bookmarkStart w:name="z74" w:id="65"/>
    <w:p>
      <w:pPr>
        <w:spacing w:after="0"/>
        <w:ind w:left="0"/>
        <w:jc w:val="both"/>
      </w:pPr>
      <w:r>
        <w:rPr>
          <w:rFonts w:ascii="Times New Roman"/>
          <w:b w:val="false"/>
          <w:i w:val="false"/>
          <w:color w:val="000000"/>
          <w:sz w:val="28"/>
        </w:rPr>
        <w:t>
      19. Критерий "Неоднократное приближение к предельному значению установленных Налоговым кодексом показателей, предоставляющих право применять специальные налоговые режимы" определяется если налогоплательщиком, применяющим специальный налоговый режим, в декларациях за два последовательных налоговых периода отражается сумма дохода в диапазоне от 98 до 99 процентов включительно от порогового значения дохода, установленного для права применения такого специального налогового режима.</w:t>
      </w:r>
    </w:p>
    <w:bookmarkEnd w:id="65"/>
    <w:bookmarkStart w:name="z75" w:id="66"/>
    <w:p>
      <w:pPr>
        <w:spacing w:after="0"/>
        <w:ind w:left="0"/>
        <w:jc w:val="both"/>
      </w:pPr>
      <w:r>
        <w:rPr>
          <w:rFonts w:ascii="Times New Roman"/>
          <w:b w:val="false"/>
          <w:i w:val="false"/>
          <w:color w:val="000000"/>
          <w:sz w:val="28"/>
        </w:rPr>
        <w:t>
      Период, за который производится расчет, является два последних отчетных периода в соответствии с применяемым специальным налоговым режимом.</w:t>
      </w:r>
    </w:p>
    <w:bookmarkEnd w:id="66"/>
    <w:bookmarkStart w:name="z76" w:id="67"/>
    <w:p>
      <w:pPr>
        <w:spacing w:after="0"/>
        <w:ind w:left="0"/>
        <w:jc w:val="both"/>
      </w:pPr>
      <w:r>
        <w:rPr>
          <w:rFonts w:ascii="Times New Roman"/>
          <w:b w:val="false"/>
          <w:i w:val="false"/>
          <w:color w:val="000000"/>
          <w:sz w:val="28"/>
        </w:rPr>
        <w:t>
      Приоритетность данного критерия – плюс 5 баллов, влияние на степень (уровень) риска – отрицательное.</w:t>
      </w:r>
    </w:p>
    <w:bookmarkEnd w:id="67"/>
    <w:bookmarkStart w:name="z77" w:id="68"/>
    <w:p>
      <w:pPr>
        <w:spacing w:after="0"/>
        <w:ind w:left="0"/>
        <w:jc w:val="both"/>
      </w:pPr>
      <w:r>
        <w:rPr>
          <w:rFonts w:ascii="Times New Roman"/>
          <w:b w:val="false"/>
          <w:i w:val="false"/>
          <w:color w:val="000000"/>
          <w:sz w:val="28"/>
        </w:rPr>
        <w:t>
      20. Критерий "Участие в налоговом мониторинге" определяется в случае наличия соглашения о горизонтальном мониторинге.</w:t>
      </w:r>
    </w:p>
    <w:bookmarkEnd w:id="68"/>
    <w:bookmarkStart w:name="z78" w:id="69"/>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69"/>
    <w:bookmarkStart w:name="z79" w:id="70"/>
    <w:p>
      <w:pPr>
        <w:spacing w:after="0"/>
        <w:ind w:left="0"/>
        <w:jc w:val="both"/>
      </w:pPr>
      <w:r>
        <w:rPr>
          <w:rFonts w:ascii="Times New Roman"/>
          <w:b w:val="false"/>
          <w:i w:val="false"/>
          <w:color w:val="000000"/>
          <w:sz w:val="28"/>
        </w:rPr>
        <w:t>
      21. Критерий "Применение налогоплательщиком контрольно-кассовых машин с функцией фиксации и (или) передачи данных" определяется при использовании налогоплательщиком контрольно-кассовых машин с функцией фиксации и (или) передачи данных.</w:t>
      </w:r>
    </w:p>
    <w:bookmarkEnd w:id="70"/>
    <w:bookmarkStart w:name="z80" w:id="71"/>
    <w:p>
      <w:pPr>
        <w:spacing w:after="0"/>
        <w:ind w:left="0"/>
        <w:jc w:val="both"/>
      </w:pPr>
      <w:r>
        <w:rPr>
          <w:rFonts w:ascii="Times New Roman"/>
          <w:b w:val="false"/>
          <w:i w:val="false"/>
          <w:color w:val="000000"/>
          <w:sz w:val="28"/>
        </w:rPr>
        <w:t>
      Приоритетность данного критерия – минус 2 балла, влияние на степень (уровень) риска – положительное.</w:t>
      </w:r>
    </w:p>
    <w:bookmarkEnd w:id="71"/>
    <w:bookmarkStart w:name="z81" w:id="72"/>
    <w:p>
      <w:pPr>
        <w:spacing w:after="0"/>
        <w:ind w:left="0"/>
        <w:jc w:val="both"/>
      </w:pPr>
      <w:r>
        <w:rPr>
          <w:rFonts w:ascii="Times New Roman"/>
          <w:b w:val="false"/>
          <w:i w:val="false"/>
          <w:color w:val="000000"/>
          <w:sz w:val="28"/>
        </w:rPr>
        <w:t>
      22. Критерий "Использование налогоплательщиком стандартного файла проверки" определяется при использовании налогоплательщиком стандартного файла проверки.</w:t>
      </w:r>
    </w:p>
    <w:bookmarkEnd w:id="72"/>
    <w:bookmarkStart w:name="z82" w:id="73"/>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73"/>
    <w:bookmarkStart w:name="z83" w:id="74"/>
    <w:p>
      <w:pPr>
        <w:spacing w:after="0"/>
        <w:ind w:left="0"/>
        <w:jc w:val="both"/>
      </w:pPr>
      <w:r>
        <w:rPr>
          <w:rFonts w:ascii="Times New Roman"/>
          <w:b w:val="false"/>
          <w:i w:val="false"/>
          <w:color w:val="000000"/>
          <w:sz w:val="28"/>
        </w:rPr>
        <w:t>
      23. Критерий "Отсутствие последовательной задолженности по налогам и социальным платежам" определяется по состоянию на последнее число 6 (шести) месяцев, предшествующих дате, установленной пунктом 8 настоящих Правил.</w:t>
      </w:r>
    </w:p>
    <w:bookmarkEnd w:id="74"/>
    <w:bookmarkStart w:name="z84" w:id="75"/>
    <w:p>
      <w:pPr>
        <w:spacing w:after="0"/>
        <w:ind w:left="0"/>
        <w:jc w:val="both"/>
      </w:pPr>
      <w:r>
        <w:rPr>
          <w:rFonts w:ascii="Times New Roman"/>
          <w:b w:val="false"/>
          <w:i w:val="false"/>
          <w:color w:val="000000"/>
          <w:sz w:val="28"/>
        </w:rPr>
        <w:t>
      Приоритетность данного критерия минус 3 балла, влияние на степень (уровень) риска – положительное.</w:t>
      </w:r>
    </w:p>
    <w:bookmarkEnd w:id="75"/>
    <w:bookmarkStart w:name="z85" w:id="76"/>
    <w:p>
      <w:pPr>
        <w:spacing w:after="0"/>
        <w:ind w:left="0"/>
        <w:jc w:val="both"/>
      </w:pPr>
      <w:r>
        <w:rPr>
          <w:rFonts w:ascii="Times New Roman"/>
          <w:b w:val="false"/>
          <w:i w:val="false"/>
          <w:color w:val="000000"/>
          <w:sz w:val="28"/>
        </w:rPr>
        <w:t>
      24. Критерий "Уплата налогов и других обязательных платежей в бюджет" определяется на основании динамики прироста уплаты налогов и других обязательных платежей в бюджет в полугодии, предшествующем периоду, на который осуществляется категорирование, по сравнению с аналогичным периодом прошлого года.</w:t>
      </w:r>
    </w:p>
    <w:bookmarkEnd w:id="76"/>
    <w:bookmarkStart w:name="z86" w:id="77"/>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77"/>
    <w:bookmarkStart w:name="z87" w:id="78"/>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78"/>
    <w:bookmarkStart w:name="z88" w:id="79"/>
    <w:p>
      <w:pPr>
        <w:spacing w:after="0"/>
        <w:ind w:left="0"/>
        <w:jc w:val="both"/>
      </w:pPr>
      <w:r>
        <w:rPr>
          <w:rFonts w:ascii="Times New Roman"/>
          <w:b w:val="false"/>
          <w:i w:val="false"/>
          <w:color w:val="000000"/>
          <w:sz w:val="28"/>
        </w:rPr>
        <w:t>
      Критерий рассчитывается по налогоплательщикам, имеющим исторические данные по уплате налогов свыше 1 (одного) миллиона тенге.</w:t>
      </w:r>
    </w:p>
    <w:bookmarkEnd w:id="79"/>
    <w:bookmarkStart w:name="z89" w:id="80"/>
    <w:p>
      <w:pPr>
        <w:spacing w:after="0"/>
        <w:ind w:left="0"/>
        <w:jc w:val="both"/>
      </w:pPr>
      <w:r>
        <w:rPr>
          <w:rFonts w:ascii="Times New Roman"/>
          <w:b w:val="false"/>
          <w:i w:val="false"/>
          <w:color w:val="000000"/>
          <w:sz w:val="28"/>
        </w:rPr>
        <w:t>
      Приоритетность критерия "Уплата налогов и других обязательных платежей в бюджет" приведена в приложении 6 к настоящим Правилам, влияние на степень (уровень) риска – положительное.</w:t>
      </w:r>
    </w:p>
    <w:bookmarkEnd w:id="80"/>
    <w:bookmarkStart w:name="z90" w:id="81"/>
    <w:p>
      <w:pPr>
        <w:spacing w:after="0"/>
        <w:ind w:left="0"/>
        <w:jc w:val="both"/>
      </w:pPr>
      <w:r>
        <w:rPr>
          <w:rFonts w:ascii="Times New Roman"/>
          <w:b w:val="false"/>
          <w:i w:val="false"/>
          <w:color w:val="000000"/>
          <w:sz w:val="28"/>
        </w:rPr>
        <w:t>
      25. Критерий "Применение трехкомпонентной интегрированной системы" определяется при условии фактического использования налогоплательщиком трехкомпонентной интегрированной системы.</w:t>
      </w:r>
    </w:p>
    <w:bookmarkEnd w:id="81"/>
    <w:bookmarkStart w:name="z91" w:id="82"/>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82"/>
    <w:bookmarkStart w:name="z92" w:id="83"/>
    <w:p>
      <w:pPr>
        <w:spacing w:after="0"/>
        <w:ind w:left="0"/>
        <w:jc w:val="both"/>
      </w:pPr>
      <w:r>
        <w:rPr>
          <w:rFonts w:ascii="Times New Roman"/>
          <w:b w:val="false"/>
          <w:i w:val="false"/>
          <w:color w:val="000000"/>
          <w:sz w:val="28"/>
        </w:rPr>
        <w:t>
      Приоритетность критерия "Применение трехкомпонентной интегрированной системы" – минус 2 балла, влияние на степень (уровень) риска – положительное.</w:t>
      </w:r>
    </w:p>
    <w:bookmarkEnd w:id="83"/>
    <w:bookmarkStart w:name="z93" w:id="84"/>
    <w:p>
      <w:pPr>
        <w:spacing w:after="0"/>
        <w:ind w:left="0"/>
        <w:jc w:val="both"/>
      </w:pPr>
      <w:r>
        <w:rPr>
          <w:rFonts w:ascii="Times New Roman"/>
          <w:b w:val="false"/>
          <w:i w:val="false"/>
          <w:color w:val="000000"/>
          <w:sz w:val="28"/>
        </w:rPr>
        <w:t>
      26. Критерий "Применение модуля "Виртуальный склад" определяется при условии ежемесячного оформления сопроводительных накладных на товары и выписки счетов-фактур в электронном виде на основе сопроводительных накладных на товары посредством модуля "Виртуальный склад".</w:t>
      </w:r>
    </w:p>
    <w:bookmarkEnd w:id="84"/>
    <w:bookmarkStart w:name="z94" w:id="85"/>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85"/>
    <w:bookmarkStart w:name="z95" w:id="86"/>
    <w:p>
      <w:pPr>
        <w:spacing w:after="0"/>
        <w:ind w:left="0"/>
        <w:jc w:val="both"/>
      </w:pPr>
      <w:r>
        <w:rPr>
          <w:rFonts w:ascii="Times New Roman"/>
          <w:b w:val="false"/>
          <w:i w:val="false"/>
          <w:color w:val="000000"/>
          <w:sz w:val="28"/>
        </w:rPr>
        <w:t>
      Приоритетность критерия "Применение модуля "Виртуальный склад" приведена в приложении 7 к настоящим Правилам, влияние на степень (уровень) риска – положительное.</w:t>
      </w:r>
    </w:p>
    <w:bookmarkEnd w:id="86"/>
    <w:bookmarkStart w:name="z96" w:id="87"/>
    <w:p>
      <w:pPr>
        <w:spacing w:after="0"/>
        <w:ind w:left="0"/>
        <w:jc w:val="left"/>
      </w:pPr>
      <w:r>
        <w:rPr>
          <w:rFonts w:ascii="Times New Roman"/>
          <w:b/>
          <w:i w:val="false"/>
          <w:color w:val="000000"/>
        </w:rPr>
        <w:t xml:space="preserve"> Глава 6. Критерии степени (уровня) риска, не являющиеся конфиденциальной информацией, применяемые в отношении налогоплательщика – физического лица</w:t>
      </w:r>
    </w:p>
    <w:bookmarkEnd w:id="87"/>
    <w:bookmarkStart w:name="z97" w:id="88"/>
    <w:p>
      <w:pPr>
        <w:spacing w:after="0"/>
        <w:ind w:left="0"/>
        <w:jc w:val="both"/>
      </w:pPr>
      <w:r>
        <w:rPr>
          <w:rFonts w:ascii="Times New Roman"/>
          <w:b w:val="false"/>
          <w:i w:val="false"/>
          <w:color w:val="000000"/>
          <w:sz w:val="28"/>
        </w:rPr>
        <w:t>
      27. Критерий "Активы, за исключением находящихся за пределами Республики Казахстан, не отраженные в декларации о доходах и имуществе физических лиц" определяется на основе сведений уполномоченных органов и организаций.</w:t>
      </w:r>
    </w:p>
    <w:bookmarkEnd w:id="88"/>
    <w:bookmarkStart w:name="z98" w:id="89"/>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89"/>
    <w:bookmarkStart w:name="z99" w:id="90"/>
    <w:p>
      <w:pPr>
        <w:spacing w:after="0"/>
        <w:ind w:left="0"/>
        <w:jc w:val="both"/>
      </w:pPr>
      <w:r>
        <w:rPr>
          <w:rFonts w:ascii="Times New Roman"/>
          <w:b w:val="false"/>
          <w:i w:val="false"/>
          <w:color w:val="000000"/>
          <w:sz w:val="28"/>
        </w:rPr>
        <w:t xml:space="preserve">
      28. Критерий "Зарубежные активы и (или) счета, не отраженные в декларации о доходах и имуществе физических лиц" определяется на основе сведений о наличии имущества за пределами Республики Казахстан на основании международных договоров со странами, с которыми заключены договоры об обмене информацией. </w:t>
      </w:r>
    </w:p>
    <w:bookmarkEnd w:id="90"/>
    <w:bookmarkStart w:name="z100" w:id="91"/>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91"/>
    <w:bookmarkStart w:name="z101" w:id="92"/>
    <w:p>
      <w:pPr>
        <w:spacing w:after="0"/>
        <w:ind w:left="0"/>
        <w:jc w:val="both"/>
      </w:pPr>
      <w:r>
        <w:rPr>
          <w:rFonts w:ascii="Times New Roman"/>
          <w:b w:val="false"/>
          <w:i w:val="false"/>
          <w:color w:val="000000"/>
          <w:sz w:val="28"/>
        </w:rPr>
        <w:t>
      29. Критерий "Увеличение активов на сумму, превышающую совокупный годовой доход физического лица в два и более раз" определяется на основе данных о стоимости приобретенных активов и сумме совокупного годового дохода физического лица за последние 3 (три) последовательных налоговых периода с учетом сумм монетарных активов из налоговой декларации физического лица за предыдущие периоды.</w:t>
      </w:r>
    </w:p>
    <w:bookmarkEnd w:id="92"/>
    <w:bookmarkStart w:name="z102" w:id="93"/>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93"/>
    <w:bookmarkStart w:name="z103" w:id="94"/>
    <w:p>
      <w:pPr>
        <w:spacing w:after="0"/>
        <w:ind w:left="0"/>
        <w:jc w:val="both"/>
      </w:pPr>
      <w:r>
        <w:rPr>
          <w:rFonts w:ascii="Times New Roman"/>
          <w:b w:val="false"/>
          <w:i w:val="false"/>
          <w:color w:val="000000"/>
          <w:sz w:val="28"/>
        </w:rPr>
        <w:t xml:space="preserve">
      30. Критерий "Многократный ввоз в Республику Казахстан товаров для личного пользования, приобретенных в зарубежных интернет магазинах" определяется если в течение квартала ввоз однородных товаров осуществлялся более 3 (трех) раз и не превышал норм, в пределах которых товары для личного пользования ввозятся физическими лицами на таможенную территорию Евразийского экономического союза без уплаты таможенных пошлин, налогов, установленных </w:t>
      </w:r>
      <w:r>
        <w:rPr>
          <w:rFonts w:ascii="Times New Roman"/>
          <w:b w:val="false"/>
          <w:i w:val="false"/>
          <w:color w:val="000000"/>
          <w:sz w:val="28"/>
        </w:rPr>
        <w:t>приложением 1</w:t>
      </w:r>
      <w:r>
        <w:rPr>
          <w:rFonts w:ascii="Times New Roman"/>
          <w:b w:val="false"/>
          <w:i w:val="false"/>
          <w:color w:val="000000"/>
          <w:sz w:val="28"/>
        </w:rPr>
        <w:t xml:space="preserve"> Решения Совета Евразийской экономической комиссии от 20 декабря 2017 года № 107 "Об отдельных вопросах, связанных с товарами для личного пользования".</w:t>
      </w:r>
    </w:p>
    <w:bookmarkEnd w:id="94"/>
    <w:bookmarkStart w:name="z104" w:id="95"/>
    <w:p>
      <w:pPr>
        <w:spacing w:after="0"/>
        <w:ind w:left="0"/>
        <w:jc w:val="both"/>
      </w:pPr>
      <w:r>
        <w:rPr>
          <w:rFonts w:ascii="Times New Roman"/>
          <w:b w:val="false"/>
          <w:i w:val="false"/>
          <w:color w:val="000000"/>
          <w:sz w:val="28"/>
        </w:rPr>
        <w:t>
      Приоритетность данного критерия – плюс 3 балла, влияние на степень (уровень) риска – отрицательное.</w:t>
      </w:r>
    </w:p>
    <w:bookmarkEnd w:id="95"/>
    <w:bookmarkStart w:name="z105" w:id="96"/>
    <w:p>
      <w:pPr>
        <w:spacing w:after="0"/>
        <w:ind w:left="0"/>
        <w:jc w:val="both"/>
      </w:pPr>
      <w:r>
        <w:rPr>
          <w:rFonts w:ascii="Times New Roman"/>
          <w:b w:val="false"/>
          <w:i w:val="false"/>
          <w:color w:val="000000"/>
          <w:sz w:val="28"/>
        </w:rPr>
        <w:t xml:space="preserve">
      31.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 для исполнения, истекло 15 (пятнадцать) и более календарных дней.</w:t>
      </w:r>
    </w:p>
    <w:bookmarkEnd w:id="96"/>
    <w:bookmarkStart w:name="z106" w:id="97"/>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97"/>
    <w:bookmarkStart w:name="z107" w:id="98"/>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9"/>
    <w:p>
      <w:pPr>
        <w:spacing w:after="0"/>
        <w:ind w:left="0"/>
        <w:jc w:val="left"/>
      </w:pPr>
      <w:r>
        <w:rPr>
          <w:rFonts w:ascii="Times New Roman"/>
          <w:b/>
          <w:i w:val="false"/>
          <w:color w:val="000000"/>
        </w:rPr>
        <w:t xml:space="preserve"> Информация о результатах категорирования налогоплательщика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использованных для расчета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0"/>
    <w:p>
      <w:pPr>
        <w:spacing w:after="0"/>
        <w:ind w:left="0"/>
        <w:jc w:val="left"/>
      </w:pPr>
      <w:r>
        <w:rPr>
          <w:rFonts w:ascii="Times New Roman"/>
          <w:b/>
          <w:i w:val="false"/>
          <w:color w:val="000000"/>
        </w:rPr>
        <w:t xml:space="preserve"> Сведения о критериях, по которым деятельность налогоплательщика отнесена к соответствующей степени (уровню) риска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результатам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базовому значению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1"/>
    <w:p>
      <w:pPr>
        <w:spacing w:after="0"/>
        <w:ind w:left="0"/>
        <w:jc w:val="left"/>
      </w:pPr>
      <w:r>
        <w:rPr>
          <w:rFonts w:ascii="Times New Roman"/>
          <w:b/>
          <w:i w:val="false"/>
          <w:color w:val="000000"/>
        </w:rPr>
        <w:t xml:space="preserve"> Показатели, на основании которых осуществлен расчет критериев, по которым деятельность налогоплательщика отнесена к соответствующей степени (уровню) риска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18" w:id="102"/>
    <w:p>
      <w:pPr>
        <w:spacing w:after="0"/>
        <w:ind w:left="0"/>
        <w:jc w:val="left"/>
      </w:pPr>
      <w:r>
        <w:rPr>
          <w:rFonts w:ascii="Times New Roman"/>
          <w:b/>
          <w:i w:val="false"/>
          <w:color w:val="000000"/>
        </w:rPr>
        <w:t xml:space="preserve"> Приоритетность критерия "Налоговая нагрузка"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среднеотраслевого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 до минус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10 до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20" w:id="103"/>
    <w:p>
      <w:pPr>
        <w:spacing w:after="0"/>
        <w:ind w:left="0"/>
        <w:jc w:val="left"/>
      </w:pPr>
      <w:r>
        <w:rPr>
          <w:rFonts w:ascii="Times New Roman"/>
          <w:b/>
          <w:i w:val="false"/>
          <w:color w:val="000000"/>
        </w:rPr>
        <w:t xml:space="preserve"> Приоритетность критерия "Среднемесячная заработная плата на одного работника"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среднеотраслевого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 до минус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минус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22" w:id="104"/>
    <w:p>
      <w:pPr>
        <w:spacing w:after="0"/>
        <w:ind w:left="0"/>
        <w:jc w:val="left"/>
      </w:pPr>
      <w:r>
        <w:rPr>
          <w:rFonts w:ascii="Times New Roman"/>
          <w:b/>
          <w:i w:val="false"/>
          <w:color w:val="000000"/>
        </w:rPr>
        <w:t xml:space="preserve"> Приоритетность критерия "Уплата налогов и других обязательных платежей в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уплаченных сумм налогов и других обязательных платежей в бюджет (уплата в предыдущем полугодии минус уплата в аналогичном периоде прошлого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миллиона тенге до 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миллионов тенге до 10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миллионов тенге до 25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24" w:id="105"/>
    <w:p>
      <w:pPr>
        <w:spacing w:after="0"/>
        <w:ind w:left="0"/>
        <w:jc w:val="left"/>
      </w:pPr>
      <w:r>
        <w:rPr>
          <w:rFonts w:ascii="Times New Roman"/>
          <w:b/>
          <w:i w:val="false"/>
          <w:color w:val="000000"/>
        </w:rPr>
        <w:t xml:space="preserve"> Приоритетность критерия "Применение модуля "Виртуальный склад"</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количество оформленных сопроводительных накладных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тысяч до 10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тысяч до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тысяч до 500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