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7c7f" w14:textId="dc07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апреля 2022 года № ҚР ДСМ -33. Зарегистрирован в Министерстве юстиции Республики Казахстан 8 апреля 2022 года № 27473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"Лекарственные средства в системе обязательного социального медицинского страхования для взрослых"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Лекарственные средства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J13-J16, J18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приготовления суспензии для приема внутрь,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 U07.2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 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получатели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средняя, степени тяжести без факторов риска (клиника ОРВИ)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Гастроэзофагальная рефлюксная болезнь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А02ВА03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 (искл D69.3)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E23.2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G50, G51, G52, G54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черепных нервов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 и слуха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 J32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синусит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J30.1-J30.4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назальный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Н66, Н67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гнойный средний отит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 хронический кератит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H01, H10, H11, Н20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блефарит/конъюнктивит/иридоциклит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N30, N34, N41.0, N41.1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инфекции мочеполовой системы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