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05fb" w14:textId="1820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апреля 2018 года № 154 "Об утверждении Правил формирования и функционирования информационной системы учета сырой нефти и газового конденсата"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апреля 2022 года № 122. Зарегистрирован в Министерстве юстиции Республики Казахстан 4 апреля 2022 года № 27389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154 "Об утверждении Правил формирования и функционирования информационной системы учета сырой нефти и газового конденсата" (зарегистрированный в Реестре государственной регистрации нормативных правовых актов за № 16960)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функционирования информационной системы учета сырой нефти и газового конденсата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недрах и недропользовании" (далее – Кодекс) и определяют порядок формирования и функционирования информационной системы учета сырой нефти и газового конденсата (далее – Система).";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Субъекты, осуществляющие деятельность в области оборота сырой нефти и газового конденсата (далее – Субъекты), предоставляют уполномоченному органу в области углеводородов доступ к имеющимся у них системам учета данных о количестве находящихся в обороте сырой нефти и газового конденсата, подготовленных к поставке потребителю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(далее – системы Субъектов).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Системы используются данные с приборов учета, установленных у субъектов, осуществляющих деятельность в области оборота сырой нефти и газового конденсата, полученные в рамках информационного взаимодействия с Субъектами.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мероприятий по формированию и вводу в промышленную эксплуатацию Системы уполномоченный орган создает рабочую группу, в состав которой входят представители уполномоченного органа и иные заинтересованные лица.";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Ввод в промышленную эксплуатацию Системы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информатизации".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ввода Системы в промышленную эксплуатацию уполномоченный орган в области углеводородов осуществляет интеграцию систем Субъектов, которые не были интегрированы на стадии опытной эксплуатации.";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 в области углеводородов осуществляет обработку и анализ информации, содержащейся в Системе, в целях формирования и распространения общедоступной информации, а также в части информации, ограниченной к распространению.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в области углеводородов предоставляется Субъектам доступ к предоставленной ими информации и общедоступной информации, содержащейся в Системе, с использованием программно-технических средств Системы.".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шестого, седьмого, восьмого, девятого, десятого, одиннадцатого, двенадцатого, тринадцатого, четырнадцатого, пятнадцатого пункта 1 настоящего приказа, которые вводятся в действие с 7 марта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