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1bd7" w14:textId="e861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 сентября 2020 года № 349 "Об утверждении Межотраслевых типовых нормативов численности работников служб охраны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марта 2022 года № 108. Зарегистрирован в Министерстве юстиции Республики Казахстан 31 марта 2022 года № 27347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02 сентября 2020 года № 349 "Об утверждении Межотраслевых типовых нормативов численности работников служб охраны труда" (зарегистрирован в Реестре государственной регистрации нормативных правовых актов за № 21164)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Межотраслевые типовые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работников служб охраны труда,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 № 108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Межотраслевые типовые нормативы численности работников служб охраны труда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 организации,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численности,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351-400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451-500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1501-2000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2501-3000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3001-3500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3501-4000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4001-4500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4501-5000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 и свыше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с не целым значением определяют численность не менее указанного предельного значения.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0,5 означает возложение обязанности по обеспечению безопасности и охраны труда на другого специалиста либо закрепление отдельного одного специалиста с учетом специфики деятельности. Значение 1,5, 2,5, 3,5, 4,5, 5,5, 6,5, 7,5, 8,5, и 9,5 означает возможность у работодателя самостоятельно определять потребность, округляя с избытком до целого с учетом специфики деятельности.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численности работников службы охраны труда (Ч), осуществляется по формуле: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Ч – численность работников, чел.;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Фn – полезный фонд рабочего времени одного работника за год, час. Определяется как произведение количества рабочих дней в году на его среднюю продолжительность.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Tн – годовая трудоемкость нормируемых работ, чел.-час.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трудоемкость нормируемых работ (Tн) определяется с учетом объема каждого вида выполняемых работ по формуле: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Hврi - нормы времени на выполнение конкретного нормируемого вида работы, чел.-час;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- объем конкретного вида работы, выполняемой за год, i = 1, 2, ..., n- виды выполняемых работ.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времени на выполнение работы (Нвр) определяется по формуле: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Нвр - норма времени на выполнение конкретного вида работы (функций), чел.-час;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 - норматив времени на выполнение нормируемой работы, установленный по нормативу, чел.-час;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коэффициент, учитывающий затраты времени на организационно-техническое обслуживание рабочего места, отдых (включая вынужденные паузы при выполнении работы, гимнастические упражнения) и личные потребности, а также подготовительно-заключительные работы, в процентном соотношении от оперативного времени. По результатам анализа хронометражных наблюдений рабочего времени работников К принимается равным 10% от объема оперативного времени.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