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1bd7" w14:textId="e861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 сентября 2020 года № 349 "Об утверждении Межотраслевых типовых нормативов численности работников служб охраны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марта 2022 года № 108. Зарегистрирован в Министерстве юстиции Республики Казахстан 31 марта 2022 года № 27347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02 сентября 2020 года № 349 "Об утверждении Межотраслевых типовых нормативов численности работников служб охраны труда" (зарегистрирован в Реестре государственной регистрации нормативных правовых актов за № 21164)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Межотраслевые типовые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 служб охраны труда,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108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Межотраслевые типовые нормативы численности работников служб охраны труда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организации,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1501-2000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2501-3000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3001-3500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3501-4000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4001-4500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4501-5000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 и свыше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с не целым значением определяют численность не менее указанного предельного значения.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0,5 означает возложение обязанности по обеспечению безопасности и охраны труда на другого специалиста либо закрепление отдельного одного специалиста с учетом специфики деятельности. Значение 1,5, 2,5, 3,5, 4,5, 5,5, 6,5, 7,5, 8,5, и 9,5 означает возможность у работодателя самостоятельно определять потребность, округляя с избытком до целого с учетом специфики деятельности.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численности работников службы охраны труда (Ч), осуществляется по формуле: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Ч – численность работников, чел.;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Фn – полезный фонд рабочего времени одного работника за год, час. Определяется как произведение количества рабочих дней в году на его среднюю продолжительность.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Tн – годовая трудоемкость нормируемых работ, чел.-час.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трудоемкость нормируемых работ (Tн) определяется с учетом объема каждого вида выполняемых работ по формуле: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Hврi - нормы времени на выполнение конкретного нормируемого вида работы, чел.-час;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- объем конкретного вида работы, выполняемой за год, i = 1, 2, ..., n- виды выполняемых работ.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времени на выполнение работы (Нвр) определяется по формуле: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Нвр - норма времени на выполнение конкретного вида работы (функций), чел.-час;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 - норматив времени на выполнение нормируемой работы, установленный по нормативу, чел.-час;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коэффициент, учитывающий затраты времени на организационно-техническое обслуживание рабочего места, отдых (включая вынужденные паузы при выполнении работы, гимнастические упражнения) и личные потребности, а также подготовительно-заключительные работы, в процентном соотношении от оперативного времени. По результатам анализа хронометражных наблюдений рабочего времени работников К принимается равным 10% от объема оперативного времени.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