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c6f1" w14:textId="c93c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марта 2022 года № 27. Зарегистрирован в Министерстве юстиции Республики Казахстан 31 марта 2022 года № 27341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27" w:id="13"/>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13"/>
    <w:bookmarkStart w:name="z28" w:id="14"/>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4"/>
    <w:bookmarkStart w:name="z29"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
    <w:bookmarkStart w:name="z30" w:id="16"/>
    <w:p>
      <w:pPr>
        <w:spacing w:after="0"/>
        <w:ind w:left="0"/>
        <w:jc w:val="both"/>
      </w:pPr>
      <w:r>
        <w:rPr>
          <w:rFonts w:ascii="Times New Roman"/>
          <w:b w:val="false"/>
          <w:i w:val="false"/>
          <w:color w:val="000000"/>
          <w:sz w:val="28"/>
        </w:rPr>
        <w:t>
      "В случае, если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 кроме того уполномоченный орган по государственному планированию может представить дополнительное экономическое заключение к ранее выданному экономическому заключению на инвестиционное предложение БИП, ТЭО БИП, ФЭО Инвестиций, концессионное предложение концессионных проектов.";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32" w:id="17"/>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подпункту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9 изложить в следующей редакции:</w:t>
      </w:r>
    </w:p>
    <w:bookmarkStart w:name="z34" w:id="18"/>
    <w:p>
      <w:pPr>
        <w:spacing w:after="0"/>
        <w:ind w:left="0"/>
        <w:jc w:val="both"/>
      </w:pPr>
      <w:r>
        <w:rPr>
          <w:rFonts w:ascii="Times New Roman"/>
          <w:b w:val="false"/>
          <w:i w:val="false"/>
          <w:color w:val="000000"/>
          <w:sz w:val="28"/>
        </w:rPr>
        <w:t>
      "7) обоснованности объема ГИП.</w:t>
      </w:r>
    </w:p>
    <w:bookmarkEnd w:id="18"/>
    <w:bookmarkStart w:name="z35" w:id="19"/>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bookmarkEnd w:id="19"/>
    <w:bookmarkStart w:name="z36" w:id="20"/>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bookmarkEnd w:id="20"/>
    <w:bookmarkStart w:name="z37" w:id="21"/>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 и коммерческим предложениям потенциальных поставщиков).";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23"/>
    <w:bookmarkStart w:name="z42" w:id="24"/>
    <w:p>
      <w:pPr>
        <w:spacing w:after="0"/>
        <w:ind w:left="0"/>
        <w:jc w:val="both"/>
      </w:pPr>
      <w:r>
        <w:rPr>
          <w:rFonts w:ascii="Times New Roman"/>
          <w:b w:val="false"/>
          <w:i w:val="false"/>
          <w:color w:val="000000"/>
          <w:sz w:val="28"/>
        </w:rPr>
        <w:t>
      Данный раздел содержит:</w:t>
      </w:r>
    </w:p>
    <w:bookmarkEnd w:id="24"/>
    <w:bookmarkStart w:name="z43" w:id="25"/>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p>
    <w:bookmarkEnd w:id="25"/>
    <w:bookmarkStart w:name="z44" w:id="26"/>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26"/>
    <w:bookmarkStart w:name="z45" w:id="27"/>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27"/>
    <w:bookmarkStart w:name="z46" w:id="28"/>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28"/>
    <w:bookmarkStart w:name="z47" w:id="29"/>
    <w:p>
      <w:pPr>
        <w:spacing w:after="0"/>
        <w:ind w:left="0"/>
        <w:jc w:val="both"/>
      </w:pP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приложению 5 к настоящим Правилам;</w:t>
      </w:r>
    </w:p>
    <w:bookmarkEnd w:id="29"/>
    <w:bookmarkStart w:name="z48" w:id="30"/>
    <w:p>
      <w:pPr>
        <w:spacing w:after="0"/>
        <w:ind w:left="0"/>
        <w:jc w:val="both"/>
      </w:pPr>
      <w:r>
        <w:rPr>
          <w:rFonts w:ascii="Times New Roman"/>
          <w:b w:val="false"/>
          <w:i w:val="false"/>
          <w:color w:val="000000"/>
          <w:sz w:val="28"/>
        </w:rPr>
        <w:t>
      6) используемые источники информации.</w:t>
      </w:r>
    </w:p>
    <w:bookmarkEnd w:id="30"/>
    <w:bookmarkStart w:name="z49" w:id="31"/>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31"/>
    <w:bookmarkStart w:name="z50" w:id="32"/>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32"/>
    <w:bookmarkStart w:name="z51" w:id="33"/>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33"/>
    <w:bookmarkStart w:name="z52" w:id="34"/>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34"/>
    <w:bookmarkStart w:name="z53" w:id="35"/>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35"/>
    <w:bookmarkStart w:name="z54" w:id="36"/>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36"/>
    <w:bookmarkStart w:name="z55" w:id="37"/>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37"/>
    <w:bookmarkStart w:name="z56" w:id="38"/>
    <w:p>
      <w:pPr>
        <w:spacing w:after="0"/>
        <w:ind w:left="0"/>
        <w:jc w:val="both"/>
      </w:pPr>
      <w:r>
        <w:rPr>
          <w:rFonts w:ascii="Times New Roman"/>
          <w:b w:val="false"/>
          <w:i w:val="false"/>
          <w:color w:val="000000"/>
          <w:sz w:val="28"/>
        </w:rPr>
        <w:t>
      Раздел "Технико-технологический" ТЭО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w:t>
      </w:r>
    </w:p>
    <w:bookmarkEnd w:id="38"/>
    <w:bookmarkStart w:name="z57" w:id="39"/>
    <w:p>
      <w:pPr>
        <w:spacing w:after="0"/>
        <w:ind w:left="0"/>
        <w:jc w:val="both"/>
      </w:pPr>
      <w:r>
        <w:rPr>
          <w:rFonts w:ascii="Times New Roman"/>
          <w:b w:val="false"/>
          <w:i w:val="false"/>
          <w:color w:val="000000"/>
          <w:sz w:val="28"/>
        </w:rPr>
        <w:t>
      перечень автоматизируемых функций, процессов и их потребителей (схема use-case);</w:t>
      </w:r>
    </w:p>
    <w:bookmarkEnd w:id="39"/>
    <w:bookmarkStart w:name="z58" w:id="40"/>
    <w:p>
      <w:pPr>
        <w:spacing w:after="0"/>
        <w:ind w:left="0"/>
        <w:jc w:val="both"/>
      </w:pPr>
      <w:r>
        <w:rPr>
          <w:rFonts w:ascii="Times New Roman"/>
          <w:b w:val="false"/>
          <w:i w:val="false"/>
          <w:color w:val="000000"/>
          <w:sz w:val="28"/>
        </w:rPr>
        <w:t>
      анализ возможных вариантов архитектуры объекта информатизации (централизованная, децентрализованная, корпоративная);</w:t>
      </w:r>
    </w:p>
    <w:bookmarkEnd w:id="40"/>
    <w:bookmarkStart w:name="z59" w:id="41"/>
    <w:p>
      <w:pPr>
        <w:spacing w:after="0"/>
        <w:ind w:left="0"/>
        <w:jc w:val="both"/>
      </w:pPr>
      <w:r>
        <w:rPr>
          <w:rFonts w:ascii="Times New Roman"/>
          <w:b w:val="false"/>
          <w:i w:val="false"/>
          <w:color w:val="000000"/>
          <w:sz w:val="28"/>
        </w:rPr>
        <w:t>
      анализ вариантов реализации объекта информатизации (интеграция и внедрение готовых решений, собственная разработка, применение готовых и собственных решений);</w:t>
      </w:r>
    </w:p>
    <w:bookmarkEnd w:id="41"/>
    <w:bookmarkStart w:name="z60" w:id="42"/>
    <w:p>
      <w:pPr>
        <w:spacing w:after="0"/>
        <w:ind w:left="0"/>
        <w:jc w:val="both"/>
      </w:pPr>
      <w:r>
        <w:rPr>
          <w:rFonts w:ascii="Times New Roman"/>
          <w:b w:val="false"/>
          <w:i w:val="false"/>
          <w:color w:val="000000"/>
          <w:sz w:val="28"/>
        </w:rPr>
        <w:t>
      схему узлов (вычислительные средства) и размещения программных компонентов объекта информатизации;</w:t>
      </w:r>
    </w:p>
    <w:bookmarkEnd w:id="42"/>
    <w:bookmarkStart w:name="z61" w:id="43"/>
    <w:p>
      <w:pPr>
        <w:spacing w:after="0"/>
        <w:ind w:left="0"/>
        <w:jc w:val="both"/>
      </w:pPr>
      <w:r>
        <w:rPr>
          <w:rFonts w:ascii="Times New Roman"/>
          <w:b w:val="false"/>
          <w:i w:val="false"/>
          <w:color w:val="000000"/>
          <w:sz w:val="28"/>
        </w:rPr>
        <w:t>
      схему телекоммуникаций и требований к каналам связи;</w:t>
      </w:r>
    </w:p>
    <w:bookmarkEnd w:id="43"/>
    <w:bookmarkStart w:name="z62" w:id="44"/>
    <w:p>
      <w:pPr>
        <w:spacing w:after="0"/>
        <w:ind w:left="0"/>
        <w:jc w:val="both"/>
      </w:pP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p>
    <w:bookmarkEnd w:id="44"/>
    <w:bookmarkStart w:name="z63" w:id="45"/>
    <w:p>
      <w:pPr>
        <w:spacing w:after="0"/>
        <w:ind w:left="0"/>
        <w:jc w:val="both"/>
      </w:pPr>
      <w:r>
        <w:rPr>
          <w:rFonts w:ascii="Times New Roman"/>
          <w:b w:val="false"/>
          <w:i w:val="false"/>
          <w:color w:val="000000"/>
          <w:sz w:val="28"/>
        </w:rPr>
        <w:t>
      общее описание архитектуры системы;</w:t>
      </w:r>
    </w:p>
    <w:bookmarkEnd w:id="45"/>
    <w:bookmarkStart w:name="z64" w:id="46"/>
    <w:p>
      <w:pPr>
        <w:spacing w:after="0"/>
        <w:ind w:left="0"/>
        <w:jc w:val="both"/>
      </w:pPr>
      <w:r>
        <w:rPr>
          <w:rFonts w:ascii="Times New Roman"/>
          <w:b w:val="false"/>
          <w:i w:val="false"/>
          <w:color w:val="000000"/>
          <w:sz w:val="28"/>
        </w:rPr>
        <w:t>
      описание компонентов системы и их взаимосвязей;</w:t>
      </w:r>
    </w:p>
    <w:bookmarkEnd w:id="46"/>
    <w:bookmarkStart w:name="z65" w:id="47"/>
    <w:p>
      <w:pPr>
        <w:spacing w:after="0"/>
        <w:ind w:left="0"/>
        <w:jc w:val="both"/>
      </w:pP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p>
    <w:bookmarkEnd w:id="47"/>
    <w:bookmarkStart w:name="z66" w:id="48"/>
    <w:p>
      <w:pPr>
        <w:spacing w:after="0"/>
        <w:ind w:left="0"/>
        <w:jc w:val="both"/>
      </w:pPr>
      <w:r>
        <w:rPr>
          <w:rFonts w:ascii="Times New Roman"/>
          <w:b w:val="false"/>
          <w:i w:val="false"/>
          <w:color w:val="000000"/>
          <w:sz w:val="28"/>
        </w:rPr>
        <w:t>
      описание объектов информатизации и их компонентов, которые могут стать неактуальны в результате реализации проекта;</w:t>
      </w:r>
    </w:p>
    <w:bookmarkEnd w:id="48"/>
    <w:bookmarkStart w:name="z67" w:id="49"/>
    <w:p>
      <w:pPr>
        <w:spacing w:after="0"/>
        <w:ind w:left="0"/>
        <w:jc w:val="both"/>
      </w:pP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p>
    <w:bookmarkEnd w:id="49"/>
    <w:bookmarkStart w:name="z68" w:id="50"/>
    <w:p>
      <w:pPr>
        <w:spacing w:after="0"/>
        <w:ind w:left="0"/>
        <w:jc w:val="both"/>
      </w:pPr>
      <w:r>
        <w:rPr>
          <w:rFonts w:ascii="Times New Roman"/>
          <w:b w:val="false"/>
          <w:i w:val="false"/>
          <w:color w:val="000000"/>
          <w:sz w:val="28"/>
        </w:rPr>
        <w:t>
      описание объектов информационного взаимодействия;</w:t>
      </w:r>
    </w:p>
    <w:bookmarkEnd w:id="50"/>
    <w:bookmarkStart w:name="z69" w:id="51"/>
    <w:p>
      <w:pPr>
        <w:spacing w:after="0"/>
        <w:ind w:left="0"/>
        <w:jc w:val="both"/>
      </w:pPr>
      <w:r>
        <w:rPr>
          <w:rFonts w:ascii="Times New Roman"/>
          <w:b w:val="false"/>
          <w:i w:val="false"/>
          <w:color w:val="000000"/>
          <w:sz w:val="28"/>
        </w:rPr>
        <w:t>
      описание применяемых стандартов обмена данным;</w:t>
      </w:r>
    </w:p>
    <w:bookmarkEnd w:id="51"/>
    <w:bookmarkStart w:name="z70" w:id="52"/>
    <w:p>
      <w:pPr>
        <w:spacing w:after="0"/>
        <w:ind w:left="0"/>
        <w:jc w:val="both"/>
      </w:pP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p>
    <w:bookmarkEnd w:id="52"/>
    <w:bookmarkStart w:name="z71" w:id="53"/>
    <w:p>
      <w:pPr>
        <w:spacing w:after="0"/>
        <w:ind w:left="0"/>
        <w:jc w:val="both"/>
      </w:pP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p>
    <w:bookmarkEnd w:id="53"/>
    <w:bookmarkStart w:name="z72" w:id="54"/>
    <w:p>
      <w:pPr>
        <w:spacing w:after="0"/>
        <w:ind w:left="0"/>
        <w:jc w:val="both"/>
      </w:pP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p>
    <w:bookmarkEnd w:id="54"/>
    <w:bookmarkStart w:name="z73" w:id="55"/>
    <w:p>
      <w:pPr>
        <w:spacing w:after="0"/>
        <w:ind w:left="0"/>
        <w:jc w:val="both"/>
      </w:pP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p>
    <w:bookmarkEnd w:id="55"/>
    <w:bookmarkStart w:name="z74" w:id="56"/>
    <w:p>
      <w:pPr>
        <w:spacing w:after="0"/>
        <w:ind w:left="0"/>
        <w:jc w:val="both"/>
      </w:pP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p>
    <w:bookmarkEnd w:id="56"/>
    <w:bookmarkStart w:name="z75" w:id="57"/>
    <w:p>
      <w:pPr>
        <w:spacing w:after="0"/>
        <w:ind w:left="0"/>
        <w:jc w:val="both"/>
      </w:pP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p>
    <w:bookmarkEnd w:id="57"/>
    <w:bookmarkStart w:name="z76" w:id="58"/>
    <w:p>
      <w:pPr>
        <w:spacing w:after="0"/>
        <w:ind w:left="0"/>
        <w:jc w:val="both"/>
      </w:pP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p>
    <w:bookmarkEnd w:id="58"/>
    <w:bookmarkStart w:name="z77" w:id="59"/>
    <w:p>
      <w:pPr>
        <w:spacing w:after="0"/>
        <w:ind w:left="0"/>
        <w:jc w:val="both"/>
      </w:pPr>
      <w:r>
        <w:rPr>
          <w:rFonts w:ascii="Times New Roman"/>
          <w:b w:val="false"/>
          <w:i w:val="false"/>
          <w:color w:val="000000"/>
          <w:sz w:val="28"/>
        </w:rPr>
        <w:t>
      описание требований информационной безопасности.";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9" w:id="60"/>
    <w:p>
      <w:pPr>
        <w:spacing w:after="0"/>
        <w:ind w:left="0"/>
        <w:jc w:val="both"/>
      </w:pPr>
      <w:r>
        <w:rPr>
          <w:rFonts w:ascii="Times New Roman"/>
          <w:b w:val="false"/>
          <w:i w:val="false"/>
          <w:color w:val="000000"/>
          <w:sz w:val="28"/>
        </w:rPr>
        <w:t>
      "40. Раздел "Финансово-экономический" ТЭО БИП содержит:</w:t>
      </w:r>
    </w:p>
    <w:bookmarkEnd w:id="60"/>
    <w:bookmarkStart w:name="z80" w:id="61"/>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61"/>
    <w:bookmarkStart w:name="z81" w:id="62"/>
    <w:p>
      <w:pPr>
        <w:spacing w:after="0"/>
        <w:ind w:left="0"/>
        <w:jc w:val="both"/>
      </w:pPr>
      <w:r>
        <w:rPr>
          <w:rFonts w:ascii="Times New Roman"/>
          <w:b w:val="false"/>
          <w:i w:val="false"/>
          <w:color w:val="000000"/>
          <w:sz w:val="28"/>
        </w:rPr>
        <w:t>
      2) расчет эксплуатационных издержек;</w:t>
      </w:r>
    </w:p>
    <w:bookmarkEnd w:id="62"/>
    <w:bookmarkStart w:name="z82" w:id="63"/>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63"/>
    <w:bookmarkStart w:name="z83" w:id="64"/>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64"/>
    <w:bookmarkStart w:name="z84" w:id="65"/>
    <w:p>
      <w:pPr>
        <w:spacing w:after="0"/>
        <w:ind w:left="0"/>
        <w:jc w:val="both"/>
      </w:pPr>
      <w:r>
        <w:rPr>
          <w:rFonts w:ascii="Times New Roman"/>
          <w:b w:val="false"/>
          <w:i w:val="false"/>
          <w:color w:val="000000"/>
          <w:sz w:val="28"/>
        </w:rPr>
        <w:t>
      5) финансовый анализ проекта, включающий:</w:t>
      </w:r>
    </w:p>
    <w:bookmarkEnd w:id="65"/>
    <w:bookmarkStart w:name="z85" w:id="66"/>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66"/>
    <w:bookmarkStart w:name="z86" w:id="67"/>
    <w:p>
      <w:pPr>
        <w:spacing w:after="0"/>
        <w:ind w:left="0"/>
        <w:jc w:val="both"/>
      </w:pPr>
      <w:r>
        <w:rPr>
          <w:rFonts w:ascii="Times New Roman"/>
          <w:b w:val="false"/>
          <w:i w:val="false"/>
          <w:color w:val="000000"/>
          <w:sz w:val="28"/>
        </w:rPr>
        <w:t>
      расчет доходов от продаж и чистой прибыли;</w:t>
      </w:r>
    </w:p>
    <w:bookmarkEnd w:id="67"/>
    <w:bookmarkStart w:name="z87" w:id="68"/>
    <w:p>
      <w:pPr>
        <w:spacing w:after="0"/>
        <w:ind w:left="0"/>
        <w:jc w:val="both"/>
      </w:pPr>
      <w:r>
        <w:rPr>
          <w:rFonts w:ascii="Times New Roman"/>
          <w:b w:val="false"/>
          <w:i w:val="false"/>
          <w:color w:val="000000"/>
          <w:sz w:val="28"/>
        </w:rPr>
        <w:t>
      сводный расчет потока денежных средств;</w:t>
      </w:r>
    </w:p>
    <w:bookmarkEnd w:id="68"/>
    <w:bookmarkStart w:name="z88" w:id="69"/>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69"/>
    <w:bookmarkStart w:name="z89" w:id="70"/>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70"/>
    <w:bookmarkStart w:name="z90" w:id="71"/>
    <w:p>
      <w:pPr>
        <w:spacing w:after="0"/>
        <w:ind w:left="0"/>
        <w:jc w:val="both"/>
      </w:pPr>
      <w:r>
        <w:rPr>
          <w:rFonts w:ascii="Times New Roman"/>
          <w:b w:val="false"/>
          <w:i w:val="false"/>
          <w:color w:val="000000"/>
          <w:sz w:val="28"/>
        </w:rPr>
        <w:t>
      6) экономический анализ проекта, включающий:</w:t>
      </w:r>
    </w:p>
    <w:bookmarkEnd w:id="71"/>
    <w:bookmarkStart w:name="z91" w:id="72"/>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72"/>
    <w:bookmarkStart w:name="z92" w:id="73"/>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73"/>
    <w:bookmarkStart w:name="z93" w:id="74"/>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74"/>
    <w:bookmarkStart w:name="z94" w:id="75"/>
    <w:p>
      <w:pPr>
        <w:spacing w:after="0"/>
        <w:ind w:left="0"/>
        <w:jc w:val="both"/>
      </w:pPr>
      <w:r>
        <w:rPr>
          <w:rFonts w:ascii="Times New Roman"/>
          <w:b w:val="false"/>
          <w:i w:val="false"/>
          <w:color w:val="000000"/>
          <w:sz w:val="28"/>
        </w:rPr>
        <w:t>
      7) используемые источники информации.</w:t>
      </w:r>
    </w:p>
    <w:bookmarkEnd w:id="75"/>
    <w:bookmarkStart w:name="z95" w:id="76"/>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76"/>
    <w:bookmarkStart w:name="z96" w:id="77"/>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
    <w:bookmarkStart w:name="z97" w:id="78"/>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8"/>
    <w:bookmarkStart w:name="z98" w:id="79"/>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p>
    <w:bookmarkEnd w:id="79"/>
    <w:bookmarkStart w:name="z99" w:id="80"/>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0"/>
    <w:bookmarkStart w:name="z100" w:id="81"/>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1"/>
    <w:bookmarkStart w:name="z101" w:id="82"/>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2"/>
    <w:bookmarkStart w:name="z102" w:id="83"/>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p>
    <w:bookmarkEnd w:id="83"/>
    <w:bookmarkStart w:name="z103" w:id="84"/>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84"/>
    <w:bookmarkStart w:name="z104" w:id="85"/>
    <w:p>
      <w:pPr>
        <w:spacing w:after="0"/>
        <w:ind w:left="0"/>
        <w:jc w:val="both"/>
      </w:pPr>
      <w:r>
        <w:rPr>
          <w:rFonts w:ascii="Times New Roman"/>
          <w:b w:val="false"/>
          <w:i w:val="false"/>
          <w:color w:val="000000"/>
          <w:sz w:val="28"/>
        </w:rPr>
        <w:t>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86"/>
    <w:bookmarkStart w:name="z107" w:id="87"/>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87"/>
    <w:bookmarkStart w:name="z108" w:id="88"/>
    <w:p>
      <w:pPr>
        <w:spacing w:after="0"/>
        <w:ind w:left="0"/>
        <w:jc w:val="both"/>
      </w:pPr>
      <w:r>
        <w:rPr>
          <w:rFonts w:ascii="Times New Roman"/>
          <w:b w:val="false"/>
          <w:i w:val="false"/>
          <w:color w:val="000000"/>
          <w:sz w:val="28"/>
        </w:rPr>
        <w:t>
      2) заключение отраслевой экспертизы;</w:t>
      </w:r>
    </w:p>
    <w:bookmarkEnd w:id="88"/>
    <w:bookmarkStart w:name="z109" w:id="89"/>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89"/>
    <w:bookmarkStart w:name="z110" w:id="90"/>
    <w:p>
      <w:pPr>
        <w:spacing w:after="0"/>
        <w:ind w:left="0"/>
        <w:jc w:val="both"/>
      </w:pPr>
      <w:r>
        <w:rPr>
          <w:rFonts w:ascii="Times New Roman"/>
          <w:b w:val="false"/>
          <w:i w:val="false"/>
          <w:color w:val="000000"/>
          <w:sz w:val="28"/>
        </w:rPr>
        <w:t>
      дополнить пунктом 52-1 следующего содержания:</w:t>
      </w:r>
    </w:p>
    <w:bookmarkEnd w:id="90"/>
    <w:bookmarkStart w:name="z111" w:id="91"/>
    <w:p>
      <w:pPr>
        <w:spacing w:after="0"/>
        <w:ind w:left="0"/>
        <w:jc w:val="both"/>
      </w:pPr>
      <w:r>
        <w:rPr>
          <w:rFonts w:ascii="Times New Roman"/>
          <w:b w:val="false"/>
          <w:i w:val="false"/>
          <w:color w:val="000000"/>
          <w:sz w:val="28"/>
        </w:rPr>
        <w:t>
      "52-1. Стоимость бюджетных инвестиционных проектов, направленных на создание и развитие информационных систем за счет правительственных внешних займов и софинансирования внешних займов из средств республиканского бюджета, в том числе расходы на консультационные услуги по управлению, сопровождению, институциональному развитию проекта, подтверждаются на основании расчетов и обоснований, представленных в составе заключения в сферах информатизации и обеспечения информационной безопасности на ТЭО БИП.";</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13" w:id="92"/>
    <w:p>
      <w:pPr>
        <w:spacing w:after="0"/>
        <w:ind w:left="0"/>
        <w:jc w:val="both"/>
      </w:pPr>
      <w:r>
        <w:rPr>
          <w:rFonts w:ascii="Times New Roman"/>
          <w:b w:val="false"/>
          <w:i w:val="false"/>
          <w:color w:val="000000"/>
          <w:sz w:val="28"/>
        </w:rPr>
        <w:t>
      "53. По БИП, в зависимости от специфики проекта требуются следующие исходные документы:</w:t>
      </w:r>
    </w:p>
    <w:bookmarkEnd w:id="92"/>
    <w:bookmarkStart w:name="z114" w:id="93"/>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93"/>
    <w:bookmarkStart w:name="z115" w:id="94"/>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94"/>
    <w:bookmarkStart w:name="z116" w:id="95"/>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95"/>
    <w:bookmarkStart w:name="z117" w:id="96"/>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96"/>
    <w:bookmarkStart w:name="z118" w:id="97"/>
    <w:p>
      <w:pPr>
        <w:spacing w:after="0"/>
        <w:ind w:left="0"/>
        <w:jc w:val="both"/>
      </w:pPr>
      <w:r>
        <w:rPr>
          <w:rFonts w:ascii="Times New Roman"/>
          <w:b w:val="false"/>
          <w:i w:val="false"/>
          <w:color w:val="000000"/>
          <w:sz w:val="28"/>
        </w:rPr>
        <w:t>
      4) предусматривающим создание и развитие объектов информатизации за счет средств правительственных внешних займов и софинансирования внешних займов из средств республиканского бюджета, требуется заключение в сферах информатизации и обеспечения информационной безопасности на ТЭО БИП.</w:t>
      </w:r>
    </w:p>
    <w:bookmarkEnd w:id="97"/>
    <w:bookmarkStart w:name="z119" w:id="98"/>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98"/>
    <w:bookmarkStart w:name="z120" w:id="99"/>
    <w:p>
      <w:pPr>
        <w:spacing w:after="0"/>
        <w:ind w:left="0"/>
        <w:jc w:val="both"/>
      </w:pPr>
      <w:r>
        <w:rPr>
          <w:rFonts w:ascii="Times New Roman"/>
          <w:b w:val="false"/>
          <w:i w:val="false"/>
          <w:color w:val="000000"/>
          <w:sz w:val="28"/>
        </w:rPr>
        <w:t>
      54. Заключение отраслевой экспертизы предусматривают оценку:</w:t>
      </w:r>
    </w:p>
    <w:bookmarkEnd w:id="99"/>
    <w:bookmarkStart w:name="z121" w:id="100"/>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100"/>
    <w:bookmarkStart w:name="z122" w:id="101"/>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101"/>
    <w:bookmarkStart w:name="z123" w:id="102"/>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102"/>
    <w:bookmarkStart w:name="z124" w:id="103"/>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103"/>
    <w:bookmarkStart w:name="z125" w:id="104"/>
    <w:p>
      <w:pPr>
        <w:spacing w:after="0"/>
        <w:ind w:left="0"/>
        <w:jc w:val="both"/>
      </w:pPr>
      <w:r>
        <w:rPr>
          <w:rFonts w:ascii="Times New Roman"/>
          <w:b w:val="false"/>
          <w:i w:val="false"/>
          <w:color w:val="000000"/>
          <w:sz w:val="28"/>
        </w:rPr>
        <w:t>
      5) распределения выгод и затрат от реализации БИП;</w:t>
      </w:r>
    </w:p>
    <w:bookmarkEnd w:id="104"/>
    <w:bookmarkStart w:name="z126" w:id="105"/>
    <w:p>
      <w:pPr>
        <w:spacing w:after="0"/>
        <w:ind w:left="0"/>
        <w:jc w:val="both"/>
      </w:pPr>
      <w:r>
        <w:rPr>
          <w:rFonts w:ascii="Times New Roman"/>
          <w:b w:val="false"/>
          <w:i w:val="false"/>
          <w:color w:val="000000"/>
          <w:sz w:val="28"/>
        </w:rPr>
        <w:t xml:space="preserve">
      6) технологических, технических решений, принятых в ТЭО БИП, в том числе график реализации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оценка проводится в соответствии с законодательством Республики Казахстан в сфере информатизации; </w:t>
      </w:r>
    </w:p>
    <w:bookmarkEnd w:id="105"/>
    <w:bookmarkStart w:name="z127" w:id="106"/>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106"/>
    <w:bookmarkStart w:name="z128" w:id="107"/>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107"/>
    <w:bookmarkStart w:name="z129" w:id="108"/>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108"/>
    <w:bookmarkStart w:name="z130" w:id="109"/>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109"/>
    <w:bookmarkStart w:name="z131" w:id="110"/>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33" w:id="111"/>
    <w:p>
      <w:pPr>
        <w:spacing w:after="0"/>
        <w:ind w:left="0"/>
        <w:jc w:val="both"/>
      </w:pPr>
      <w:r>
        <w:rPr>
          <w:rFonts w:ascii="Times New Roman"/>
          <w:b w:val="false"/>
          <w:i w:val="false"/>
          <w:color w:val="000000"/>
          <w:sz w:val="28"/>
        </w:rPr>
        <w:t>
      "58.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111"/>
    <w:bookmarkStart w:name="z134" w:id="112"/>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112"/>
    <w:bookmarkStart w:name="z135" w:id="113"/>
    <w:p>
      <w:pPr>
        <w:spacing w:after="0"/>
        <w:ind w:left="0"/>
        <w:jc w:val="both"/>
      </w:pPr>
      <w:r>
        <w:rPr>
          <w:rFonts w:ascii="Times New Roman"/>
          <w:b w:val="false"/>
          <w:i w:val="false"/>
          <w:color w:val="000000"/>
          <w:sz w:val="28"/>
        </w:rPr>
        <w:t>
      К дополнительным экспертизам относятся:</w:t>
      </w:r>
    </w:p>
    <w:bookmarkEnd w:id="113"/>
    <w:bookmarkStart w:name="z136" w:id="114"/>
    <w:p>
      <w:pPr>
        <w:spacing w:after="0"/>
        <w:ind w:left="0"/>
        <w:jc w:val="both"/>
      </w:pPr>
      <w:r>
        <w:rPr>
          <w:rFonts w:ascii="Times New Roman"/>
          <w:b w:val="false"/>
          <w:i w:val="false"/>
          <w:color w:val="000000"/>
          <w:sz w:val="28"/>
        </w:rPr>
        <w:t>
      1) комплексная вневедомственная экспертиза;</w:t>
      </w:r>
    </w:p>
    <w:bookmarkEnd w:id="114"/>
    <w:bookmarkStart w:name="z137" w:id="115"/>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115"/>
    <w:bookmarkStart w:name="z138" w:id="116"/>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40" w:id="117"/>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статьей с </w:t>
      </w:r>
      <w:r>
        <w:rPr>
          <w:rFonts w:ascii="Times New Roman"/>
          <w:b w:val="false"/>
          <w:i w:val="false"/>
          <w:color w:val="000000"/>
          <w:sz w:val="28"/>
        </w:rPr>
        <w:t>пунктом 4</w:t>
      </w:r>
      <w:r>
        <w:rPr>
          <w:rFonts w:ascii="Times New Roman"/>
          <w:b w:val="false"/>
          <w:i w:val="false"/>
          <w:color w:val="000000"/>
          <w:sz w:val="28"/>
        </w:rPr>
        <w:t xml:space="preserve"> статьи 153 Бюджетного кодекса Республики Казахстан.</w:t>
      </w:r>
    </w:p>
    <w:bookmarkEnd w:id="117"/>
    <w:bookmarkStart w:name="z141" w:id="118"/>
    <w:p>
      <w:pPr>
        <w:spacing w:after="0"/>
        <w:ind w:left="0"/>
        <w:jc w:val="both"/>
      </w:pPr>
      <w:r>
        <w:rPr>
          <w:rFonts w:ascii="Times New Roman"/>
          <w:b w:val="false"/>
          <w:i w:val="false"/>
          <w:color w:val="000000"/>
          <w:sz w:val="28"/>
        </w:rPr>
        <w:t>
      Разработка ТЭО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3" w:id="119"/>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19"/>
    <w:bookmarkStart w:name="z144" w:id="120"/>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при этом экономические экспертиза и заключение не требуются.</w:t>
      </w:r>
    </w:p>
    <w:bookmarkEnd w:id="120"/>
    <w:bookmarkStart w:name="z145" w:id="121"/>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21"/>
    <w:bookmarkStart w:name="z146" w:id="122"/>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22"/>
    <w:bookmarkStart w:name="z147" w:id="12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bookmarkEnd w:id="123"/>
    <w:bookmarkStart w:name="z148"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151</w:t>
      </w:r>
      <w:r>
        <w:rPr>
          <w:rFonts w:ascii="Times New Roman"/>
          <w:b w:val="false"/>
          <w:i w:val="false"/>
          <w:color w:val="000000"/>
          <w:sz w:val="28"/>
        </w:rPr>
        <w:t>:</w:t>
      </w:r>
    </w:p>
    <w:bookmarkEnd w:id="124"/>
    <w:bookmarkStart w:name="z149" w:id="125"/>
    <w:p>
      <w:pPr>
        <w:spacing w:after="0"/>
        <w:ind w:left="0"/>
        <w:jc w:val="both"/>
      </w:pPr>
      <w:r>
        <w:rPr>
          <w:rFonts w:ascii="Times New Roman"/>
          <w:b w:val="false"/>
          <w:i w:val="false"/>
          <w:color w:val="000000"/>
          <w:sz w:val="28"/>
        </w:rPr>
        <w:t>
      абзац девятнадцатый изложить в следующей редакции:</w:t>
      </w:r>
    </w:p>
    <w:bookmarkEnd w:id="125"/>
    <w:bookmarkStart w:name="z150" w:id="126"/>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26"/>
    <w:bookmarkStart w:name="z151" w:id="127"/>
    <w:p>
      <w:pPr>
        <w:spacing w:after="0"/>
        <w:ind w:left="0"/>
        <w:jc w:val="both"/>
      </w:pPr>
      <w:r>
        <w:rPr>
          <w:rFonts w:ascii="Times New Roman"/>
          <w:b w:val="false"/>
          <w:i w:val="false"/>
          <w:color w:val="000000"/>
          <w:sz w:val="28"/>
        </w:rPr>
        <w:t>
      абзац тридцать девятый изложить в следующей редакции:</w:t>
      </w:r>
    </w:p>
    <w:bookmarkEnd w:id="127"/>
    <w:bookmarkStart w:name="z152" w:id="128"/>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28"/>
    <w:bookmarkStart w:name="z153" w:id="129"/>
    <w:p>
      <w:pPr>
        <w:spacing w:after="0"/>
        <w:ind w:left="0"/>
        <w:jc w:val="both"/>
      </w:pPr>
      <w:r>
        <w:rPr>
          <w:rFonts w:ascii="Times New Roman"/>
          <w:b w:val="false"/>
          <w:i w:val="false"/>
          <w:color w:val="000000"/>
          <w:sz w:val="28"/>
        </w:rPr>
        <w:t>
      абзац пятьдесят седьмой изложить в следующей редакции:</w:t>
      </w:r>
    </w:p>
    <w:bookmarkEnd w:id="129"/>
    <w:bookmarkStart w:name="z154" w:id="130"/>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156" w:id="131"/>
    <w:p>
      <w:pPr>
        <w:spacing w:after="0"/>
        <w:ind w:left="0"/>
        <w:jc w:val="both"/>
      </w:pP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31"/>
    <w:bookmarkStart w:name="z157" w:id="132"/>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bookmarkEnd w:id="132"/>
    <w:bookmarkStart w:name="z158" w:id="133"/>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182-11</w:t>
      </w:r>
      <w:r>
        <w:rPr>
          <w:rFonts w:ascii="Times New Roman"/>
          <w:b w:val="false"/>
          <w:i w:val="false"/>
          <w:color w:val="000000"/>
          <w:sz w:val="28"/>
        </w:rPr>
        <w:t xml:space="preserve"> изложить в следующей редакции:</w:t>
      </w:r>
    </w:p>
    <w:bookmarkStart w:name="z160" w:id="134"/>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134"/>
    <w:bookmarkStart w:name="z161" w:id="135"/>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w:t>
      </w:r>
    </w:p>
    <w:bookmarkEnd w:id="135"/>
    <w:bookmarkStart w:name="z162" w:id="136"/>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182-14</w:t>
      </w:r>
      <w:r>
        <w:rPr>
          <w:rFonts w:ascii="Times New Roman"/>
          <w:b w:val="false"/>
          <w:i w:val="false"/>
          <w:color w:val="000000"/>
          <w:sz w:val="28"/>
        </w:rPr>
        <w:t xml:space="preserve"> изложить в следующей редакции:</w:t>
      </w:r>
    </w:p>
    <w:bookmarkStart w:name="z164" w:id="137"/>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национальной компании в сфере агропромышленного комплекса, участвующей в обеспечении продовольственной безопасности,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137"/>
    <w:bookmarkStart w:name="z165" w:id="1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138"/>
    <w:bookmarkStart w:name="z166" w:id="139"/>
    <w:p>
      <w:pPr>
        <w:spacing w:after="0"/>
        <w:ind w:left="0"/>
        <w:jc w:val="both"/>
      </w:pPr>
      <w:r>
        <w:rPr>
          <w:rFonts w:ascii="Times New Roman"/>
          <w:b w:val="false"/>
          <w:i w:val="false"/>
          <w:color w:val="000000"/>
          <w:sz w:val="28"/>
        </w:rPr>
        <w:t>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182-29</w:t>
      </w:r>
      <w:r>
        <w:rPr>
          <w:rFonts w:ascii="Times New Roman"/>
          <w:b w:val="false"/>
          <w:i w:val="false"/>
          <w:color w:val="000000"/>
          <w:sz w:val="28"/>
        </w:rPr>
        <w:t xml:space="preserve">, </w:t>
      </w:r>
      <w:r>
        <w:rPr>
          <w:rFonts w:ascii="Times New Roman"/>
          <w:b w:val="false"/>
          <w:i w:val="false"/>
          <w:color w:val="000000"/>
          <w:sz w:val="28"/>
        </w:rPr>
        <w:t>182-30</w:t>
      </w:r>
      <w:r>
        <w:rPr>
          <w:rFonts w:ascii="Times New Roman"/>
          <w:b w:val="false"/>
          <w:i w:val="false"/>
          <w:color w:val="000000"/>
          <w:sz w:val="28"/>
        </w:rPr>
        <w:t xml:space="preserve"> и </w:t>
      </w:r>
      <w:r>
        <w:rPr>
          <w:rFonts w:ascii="Times New Roman"/>
          <w:b w:val="false"/>
          <w:i w:val="false"/>
          <w:color w:val="000000"/>
          <w:sz w:val="28"/>
        </w:rPr>
        <w:t>182-31</w:t>
      </w:r>
      <w:r>
        <w:rPr>
          <w:rFonts w:ascii="Times New Roman"/>
          <w:b w:val="false"/>
          <w:i w:val="false"/>
          <w:color w:val="000000"/>
          <w:sz w:val="28"/>
        </w:rPr>
        <w:t xml:space="preserve"> изложить в следующей редакции:</w:t>
      </w:r>
    </w:p>
    <w:bookmarkStart w:name="z168" w:id="140"/>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основывается на анализе:</w:t>
      </w:r>
    </w:p>
    <w:bookmarkEnd w:id="140"/>
    <w:bookmarkStart w:name="z169" w:id="141"/>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141"/>
    <w:bookmarkStart w:name="z170" w:id="142"/>
    <w:p>
      <w:pPr>
        <w:spacing w:after="0"/>
        <w:ind w:left="0"/>
        <w:jc w:val="both"/>
      </w:pPr>
      <w:r>
        <w:rPr>
          <w:rFonts w:ascii="Times New Roman"/>
          <w:b w:val="false"/>
          <w:i w:val="false"/>
          <w:color w:val="000000"/>
          <w:sz w:val="28"/>
        </w:rPr>
        <w:t>
      2) заемщика (специализированных организаций).</w:t>
      </w:r>
    </w:p>
    <w:bookmarkEnd w:id="142"/>
    <w:bookmarkStart w:name="z171" w:id="143"/>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143"/>
    <w:bookmarkStart w:name="z172" w:id="144"/>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44"/>
    <w:bookmarkStart w:name="z173" w:id="145"/>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w:t>
      </w:r>
    </w:p>
    <w:bookmarkEnd w:id="145"/>
    <w:bookmarkStart w:name="z174" w:id="146"/>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46"/>
    <w:bookmarkStart w:name="z175" w:id="1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7"/>
    <w:bookmarkStart w:name="z176" w:id="1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48"/>
    <w:bookmarkStart w:name="z177" w:id="1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49"/>
    <w:bookmarkStart w:name="z178" w:id="1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50"/>
    <w:bookmarkStart w:name="z179" w:id="1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81" w:id="152"/>
      <w:r>
        <w:rPr>
          <w:rFonts w:ascii="Times New Roman"/>
          <w:b w:val="false"/>
          <w:i w:val="false"/>
          <w:color w:val="000000"/>
          <w:sz w:val="28"/>
        </w:rPr>
        <w:t>
      "СОГЛАСОВАН"</w:t>
      </w:r>
    </w:p>
    <w:bookmarkEnd w:id="15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2" w:id="153"/>
      <w:r>
        <w:rPr>
          <w:rFonts w:ascii="Times New Roman"/>
          <w:b w:val="false"/>
          <w:i w:val="false"/>
          <w:color w:val="000000"/>
          <w:sz w:val="28"/>
        </w:rPr>
        <w:t>
      "СОГЛАСОВАН"</w:t>
      </w:r>
    </w:p>
    <w:bookmarkEnd w:id="15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