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c67b" w14:textId="cccc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Министра юстиции Республики Казахстан от 30 марта 2022 года № 258. Зарегистрирован в Министерстве юстиции Республики Казахстан 31 марта 2022 года № 27310</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(зарегистрирован в Реестре государственной регистрации нормативных правовых актов под № 20771),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1) Правила оказания государственной услуги "Государственная регистрация юридических лиц, учетная регистрация их филиалов и представительств" согласно приложению 1 к настоящему приказу;</w:t>
      </w:r>
    </w:p>
    <w:bookmarkEnd w:id="3"/>
    <w:bookmarkStart w:name="z9" w:id="4"/>
    <w:p>
      <w:pPr>
        <w:spacing w:after="0"/>
        <w:ind w:left="0"/>
        <w:jc w:val="both"/>
      </w:pPr>
      <w:r>
        <w:rPr>
          <w:rFonts w:ascii="Times New Roman"/>
          <w:b w:val="false"/>
          <w:i w:val="false"/>
          <w:color w:val="000000"/>
          <w:sz w:val="28"/>
        </w:rPr>
        <w:t>
      2) Правила оказания государственной услуги "Государственная перерегистрация юридических лиц, учетная перерегистрация их филиалов и представительств" согласно приложению 2 к настоящему приказу;</w:t>
      </w:r>
    </w:p>
    <w:bookmarkEnd w:id="4"/>
    <w:bookmarkStart w:name="z10" w:id="5"/>
    <w:p>
      <w:pPr>
        <w:spacing w:after="0"/>
        <w:ind w:left="0"/>
        <w:jc w:val="both"/>
      </w:pPr>
      <w:r>
        <w:rPr>
          <w:rFonts w:ascii="Times New Roman"/>
          <w:b w:val="false"/>
          <w:i w:val="false"/>
          <w:color w:val="000000"/>
          <w:sz w:val="28"/>
        </w:rPr>
        <w:t>
      3) Правила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приложению 3 к настоящему приказу;</w:t>
      </w:r>
    </w:p>
    <w:bookmarkEnd w:id="5"/>
    <w:bookmarkStart w:name="z11" w:id="6"/>
    <w:p>
      <w:pPr>
        <w:spacing w:after="0"/>
        <w:ind w:left="0"/>
        <w:jc w:val="both"/>
      </w:pPr>
      <w:r>
        <w:rPr>
          <w:rFonts w:ascii="Times New Roman"/>
          <w:b w:val="false"/>
          <w:i w:val="false"/>
          <w:color w:val="000000"/>
          <w:sz w:val="28"/>
        </w:rPr>
        <w:t>
      4) Правила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приложению 4 к настоящему приказу;</w:t>
      </w:r>
    </w:p>
    <w:bookmarkEnd w:id="6"/>
    <w:bookmarkStart w:name="z12" w:id="7"/>
    <w:p>
      <w:pPr>
        <w:spacing w:after="0"/>
        <w:ind w:left="0"/>
        <w:jc w:val="both"/>
      </w:pPr>
      <w:r>
        <w:rPr>
          <w:rFonts w:ascii="Times New Roman"/>
          <w:b w:val="false"/>
          <w:i w:val="false"/>
          <w:color w:val="000000"/>
          <w:sz w:val="28"/>
        </w:rPr>
        <w:t>
      5) Правила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приложению 5 к настоящему приказу;</w:t>
      </w:r>
    </w:p>
    <w:bookmarkEnd w:id="7"/>
    <w:bookmarkStart w:name="z13" w:id="8"/>
    <w:p>
      <w:pPr>
        <w:spacing w:after="0"/>
        <w:ind w:left="0"/>
        <w:jc w:val="both"/>
      </w:pPr>
      <w:r>
        <w:rPr>
          <w:rFonts w:ascii="Times New Roman"/>
          <w:b w:val="false"/>
          <w:i w:val="false"/>
          <w:color w:val="000000"/>
          <w:sz w:val="28"/>
        </w:rPr>
        <w:t>
      6)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согласно приложению 6 к настоящему приказу;";</w:t>
      </w:r>
    </w:p>
    <w:bookmarkEnd w:id="8"/>
    <w:bookmarkStart w:name="z14"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утвержденных данным приказом, утвержденных данным приказом:</w:t>
      </w:r>
    </w:p>
    <w:bookmarkEnd w:id="9"/>
    <w:bookmarkStart w:name="z15"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вносятся изменения на казахском языке, тексты на русском языке не меняются;</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2"/>
    <w:bookmarkStart w:name="z18"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r>
    </w:tbl>
    <w:bookmarkStart w:name="z19" w:id="14"/>
    <w:p>
      <w:pPr>
        <w:spacing w:after="0"/>
        <w:ind w:left="0"/>
        <w:jc w:val="both"/>
      </w:pPr>
      <w:r>
        <w:rPr>
          <w:rFonts w:ascii="Times New Roman"/>
          <w:b w:val="false"/>
          <w:i w:val="false"/>
          <w:color w:val="000000"/>
          <w:sz w:val="28"/>
        </w:rPr>
        <w:t>
      ",</w:t>
      </w:r>
    </w:p>
    <w:bookmarkEnd w:id="14"/>
    <w:bookmarkStart w:name="z20" w:id="15"/>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5"/>
    <w:bookmarkStart w:name="z21"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В Государственную корпорацию для государственной регистрации юридических лиц:</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заявления по формам согласно приложениям: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государственной (учетной) регистрации юридического лица, филиала (представительства); заявление о государственной регистрации хозяйственных товариществ, осуществляющих свою деятельность на основании типового устава; заявление о государственной регистрации акционерного общества, осуществляющего свою деятельность на основании типового устава; заявление о государственной регистрации производственного кооператива, осуществляющего свою деятельность на основании типового устава;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Юридические лица с участием государства представляют заявление с отметкой реестродержателя.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иное не установлено международными договорами, ратифицированными Республикой Казахстан, то дополнительно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 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за исключением акционерного общества, осуществляющего свою деятельность на основании типового устава; протокол учредительного собрания, либо решение единственного участника; 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 Коммандитное товарищество: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товарищество: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Производственный кооператив: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список членов производственного кооператива с указанием фамилии, имени, отчества (при его наличии), ИИН, места жительства;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Потребительский кооператив: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учредительный договор; квитанция или иной документ, подтверждающий уплату в бюджет сбора за государственную регистрацию; потребительским кооперативом представляется список членов этого кооператива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Товарищество с дополнительной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 Товарищество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предприятие: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устав; решение Правительства Республики Казахстан или местного исполнительного органа о создании предприятия;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о создании государственного учреждения; положение (устав);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Жилищно-строительный кооператив и жилищный кооператив: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Жилищным и жилищно-строительным кооперативами представляется также список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Кооператив собственников помещений (квартир):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учредительного собрания собственников помещений (квартир) в объекте кондоминиума или протокол с листами голосования по итогам письменного опроса; устав; документ, удостоверяющий местонахождение юридического лица; государственный акт о регистрации или перерегистрации объекта кондоминиума, либо документ, подтверждающий государственную регистрацию объекта кондоминиума со штампом регистрирующего органа;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Объединение собственников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собрания; устав объединения собственников имущества;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Коллегия адвокатов: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утвержденный учредительным собранием (конференцией) членов коллегии адвокатов; решение уполномоченного органа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Нотариальная палата: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утвержденный высшим органом управления нотариальной палаты; решение высшего органа управления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Фонд:</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учредительный договор (при числе учредителей более одного); решение уполномоченного органа об утверждении устава; решение коллегиального органа (попечительского совета) о назначении исполнительного органа;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Объединение: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принятый на учредительном съезде (конференции, собрании); протокол учредительного съезда (конференции, собрания), принявшего устав, подписанный председателем и секретарем съезда (конференции, собрания);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 документ, подтверждающий место нахождения общественного объединения;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политических партий дополнительно представляются: программа партии; списки членов партии, в составе которой должно быть не менее двадцати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в каждой из них с указанием фамилии, имени, отчества (при наличии), ИИН, адреса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приложению 13 к Правилам, а также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политических партиях":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список инициативной группы граждан по созданию политической партии на электронном (в EXCEL формате) и бумажном носителях по форме, согласно приложению 13-1 к Правилам и сведения о членах организационного комитета на электронном и бумажном носителях по форме, согласно приложению 14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приложению 15 к Правилам, подтверждающий их представление.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политических партий дополнительно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партии; списки членов партии, в составе которой должно быть не менее двадцати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по форме, согласно приложению 16 к Правилам на электронном (в EXCEL формате) и бумажном носителях.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Объединение юридических лиц в форме ассоциации (союза), объединение индивидуальных предпринимателей и юридических лиц, объединение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учредительный договор, подписанный всеми учредителями объединения;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Палата аудиторов: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Религиозное объединение: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религиозного объединения, подписанный руководителем религиозного объединения; протокол учредительного собрания (съезда, конференции); список граждан-инициаторов создаваемого религиозного объединения на электронном и бумажном носителях по форме, согласно приложению 17 к Правилам; документ, подтверждающий место нахождения религиозного объединения;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 квитанция или иной документ, подтверждающий уплату в бюджет сбора за государственную регистрацию;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 религиозное объединение, имеющее руководящий центр вне пределов республики, дополнительно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устава зарубежного центра с нотариально удостоверенным переводом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регистрации представляется решение уполномоченного органа религиозного управления (центра) об их создании.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собственника о создании учреждения; положение (устав); учредительный договор или аналогичное соглашение (при числе собственников (учредителей) более одного);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Палата оценщиков: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Палата юридических консультантов: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Адвокатская контора: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учетной регистрации филиалов (представительств): филиал (представительство) казахстанского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об учетной регистрации по форме, согласно приложению 1 к Правилам (далее –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двух экземплярах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(представительство) иностранного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об учетной регистрации по форме, согласно приложению 1 к Правилам (далее – заявление); положение о филиале (представительстве), утвержденное органом юридического лица;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решение юридического лица о создании филиала (представительства) с нотариально засвидетельствованным переводом на казахский и русский языки;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копия учредительных документов юридического лица с нотариально засвидетельствованным переводом на казахский и русский языки; 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регистрации юридического лица, создаваемого путем реорганизации, подаются: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согласно приложениям 1, 2, 3 и 4 (далее – заявление) к Правилам;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Республики Казахстан;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письменное уведомление кредиторов о реорганизации юридического лица;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документов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регистрации юридического лица, относящегося к субъекту малого предпринимательства, учредителем (учредителями) подается уведомление о начале осуществления предпринимательской деятельности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9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5 к Правилам. Для государственной регистрации юридических лиц, филиалов и представительств (за исключением политических партий и религиозных объединений):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(положения); оплата регистрационного сбора через платежный шлюз "электронного правительства"; электронная копия документа, подтверждающего место нахождения общественного объединения; электронная копия решения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за исключением акционерного общества, осуществляющего свою деятельность на основании типового устава; электронная копия протокола учредительного собрания, либо решение единственного участника; оплата регистрационного сбора через платежный шлюз "электронного правительства"; 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коммандитного товарищества: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полного товарищества: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производственного кооператива: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списка членов производственного кооператива с указанием фамилии, имени, отчества (при его наличии), ИИН,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потребительского кооператива: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электронная копия учредительного договора;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товарищества с дополнительной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товарищества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государственного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электронная копия решения Правительства Республики Казахстан или местного исполнительного органа о создании предприятия;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государственного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решения о создании государственного учреждения; электронная копия положения (устав);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жилищно-строительного кооператива и жилищного кооператива: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кооператива собственников помещений (квартир):</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протокола учредительного собрания собственников помещений (квартир) в объекте кондоминиума или протокола с листами голосования по итогам письменного опроса; электронная копия устава;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документа, удостоверяющего местонахождение юридического лица; электронная копия государственного акта о регистрации или перерегистрации объекта кондоминиума, либо документа, подтверждающий государственную регистрацию объекта кондоминиума со штампом регистрирующего органа;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коллегии адвокатов: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утвержденного учредительным собранием (конференцией) членов коллегии адвокатов; электронная копия решения уполномоченного органа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нотариальной палаты: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утвержденного высшим органом управления нотариальной палаты; электронная копия решения высшего органа управления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электронная копия учредительного договора (при числе учредителей более одного); электронная копия решения уполномоченного органа об утверждении устава; электронная копия решения коллегиального органа (попечительского совета) о назначении исполнительного органа;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объединения: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принятого на учредительном съезде (конференции, собрании); 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 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 электронная копия документа, подтверждающего место нахождения общественного объединения;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объединения собственников имущества регистрация осуществляется посредством интеграции объектов информатизации и государственной базы данных "Юридические лица"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объединений юридических лиц в форме ассоциации (союза), объединений индивидуальных предпринимателей и юридических лиц, объединений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электронная копия учредительного договора, подписанный всеми учредителями объединения;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палаты аудиторов: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электронная копия решения уполномоченного органа о создании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палаты оценщиков: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электронная копия решения уполномоченного органа о создании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палаты юридических консультантов: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адвокатской конторы: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учетной регистрации филиалов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(представительство) казахстанского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подается заявка об учетной регистрации; 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 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 филиал (представительство) иностранного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об учетной регистрации; электронная копия положения о филиале (представительстве), утвержденная органом юридического лица; 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 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электронная копия учредительных документов юридического лица с нотариально засвидетельствованным переводом на казахский и русский языки; 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регистрации юридического лица, создаваемого путем реорганизации, подаются: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уведомление; 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Республики Казахстан; 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письменное уведомление кредиторов о реорганизации юридического лица; 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 Электронными копиями документов, подтверждающими местонахождение юридического лица, являются договор аренды и иной документ, предусмотренный гражданским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p>
          <w:p>
            <w:pPr>
              <w:spacing w:after="20"/>
              <w:ind w:left="20"/>
              <w:jc w:val="both"/>
            </w:pPr>
            <w:r>
              <w:rPr>
                <w:rFonts w:ascii="Times New Roman"/>
                <w:b w:val="false"/>
                <w:i w:val="false"/>
                <w:color w:val="000000"/>
                <w:sz w:val="20"/>
              </w:rPr>
              <w:t xml:space="preserve">
Учредительные документы юридических лиц, не относящихся к субъектам частного предпринимательства, представляются на казахском и русском языках. В случаях, предусмотренных </w:t>
            </w:r>
            <w:r>
              <w:rPr>
                <w:rFonts w:ascii="Times New Roman"/>
                <w:b w:val="false"/>
                <w:i w:val="false"/>
                <w:color w:val="000000"/>
                <w:sz w:val="20"/>
              </w:rPr>
              <w:t>статьей 6</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tc>
      </w:tr>
    </w:tbl>
    <w:bookmarkStart w:name="z159" w:id="18"/>
    <w:p>
      <w:pPr>
        <w:spacing w:after="0"/>
        <w:ind w:left="0"/>
        <w:jc w:val="both"/>
      </w:pPr>
      <w:r>
        <w:rPr>
          <w:rFonts w:ascii="Times New Roman"/>
          <w:b w:val="false"/>
          <w:i w:val="false"/>
          <w:color w:val="000000"/>
          <w:sz w:val="28"/>
        </w:rPr>
        <w:t>
      ";</w:t>
      </w:r>
    </w:p>
    <w:bookmarkEnd w:id="18"/>
    <w:bookmarkStart w:name="z16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утвержденных данным приказом:</w:t>
      </w:r>
    </w:p>
    <w:bookmarkEnd w:id="19"/>
    <w:bookmarkStart w:name="z16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вносятся изменения на казахском языке, тексты на русском языке не меняются;</w:t>
      </w:r>
    </w:p>
    <w:bookmarkEnd w:id="20"/>
    <w:bookmarkStart w:name="z16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21"/>
    <w:bookmarkStart w:name="z163" w:id="22"/>
    <w:p>
      <w:pPr>
        <w:spacing w:after="0"/>
        <w:ind w:left="0"/>
        <w:jc w:val="both"/>
      </w:pPr>
      <w:r>
        <w:rPr>
          <w:rFonts w:ascii="Times New Roman"/>
          <w:b w:val="false"/>
          <w:i w:val="false"/>
          <w:color w:val="000000"/>
          <w:sz w:val="28"/>
        </w:rPr>
        <w:t>
      заголовок Стандарта государственной услуги "Государственная перерегистрация юридических лиц, учетная перерегистрация их филиалов и представительств" изложить в следующей редакции, заголовок на казахском языке не меняется:</w:t>
      </w:r>
    </w:p>
    <w:bookmarkEnd w:id="22"/>
    <w:bookmarkStart w:name="z164" w:id="23"/>
    <w:p>
      <w:pPr>
        <w:spacing w:after="0"/>
        <w:ind w:left="0"/>
        <w:jc w:val="both"/>
      </w:pPr>
      <w:r>
        <w:rPr>
          <w:rFonts w:ascii="Times New Roman"/>
          <w:b w:val="false"/>
          <w:i w:val="false"/>
          <w:color w:val="000000"/>
          <w:sz w:val="28"/>
        </w:rPr>
        <w:t>
      "Стандарт государственной услуги "Государственная перерегистрация юридических лиц, учетная перерегистрация их филиалов и представительств";</w:t>
      </w:r>
    </w:p>
    <w:bookmarkEnd w:id="23"/>
    <w:bookmarkStart w:name="z165" w:id="24"/>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24"/>
    <w:bookmarkStart w:name="z166"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bl>
    <w:bookmarkStart w:name="z167" w:id="26"/>
    <w:p>
      <w:pPr>
        <w:spacing w:after="0"/>
        <w:ind w:left="0"/>
        <w:jc w:val="both"/>
      </w:pPr>
      <w:r>
        <w:rPr>
          <w:rFonts w:ascii="Times New Roman"/>
          <w:b w:val="false"/>
          <w:i w:val="false"/>
          <w:color w:val="000000"/>
          <w:sz w:val="28"/>
        </w:rPr>
        <w:t>
      ";</w:t>
      </w:r>
    </w:p>
    <w:bookmarkEnd w:id="26"/>
    <w:bookmarkStart w:name="z16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утвержденных данным приказом:</w:t>
      </w:r>
    </w:p>
    <w:bookmarkEnd w:id="27"/>
    <w:bookmarkStart w:name="z169"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вносятся изменения на казахском языке, тексты на русском языке не меняются;</w:t>
      </w:r>
    </w:p>
    <w:bookmarkEnd w:id="28"/>
    <w:bookmarkStart w:name="z170"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утвержденных данным приказом:</w:t>
      </w:r>
    </w:p>
    <w:bookmarkEnd w:id="29"/>
    <w:bookmarkStart w:name="z171"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вносятся изменения на казахском языке, тексты на русском языке не меняются;</w:t>
      </w:r>
    </w:p>
    <w:bookmarkEnd w:id="30"/>
    <w:bookmarkStart w:name="z17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справки о регистрации (перерегистрации) юридических лиц, об учетной регистрации (перерегистрации) их филиалов и представительств", утвержденных данным приказом:</w:t>
      </w:r>
    </w:p>
    <w:bookmarkEnd w:id="31"/>
    <w:bookmarkStart w:name="z173"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заголовок изложить в следующей редакции:</w:t>
      </w:r>
    </w:p>
    <w:bookmarkEnd w:id="32"/>
    <w:bookmarkStart w:name="z174" w:id="33"/>
    <w:p>
      <w:pPr>
        <w:spacing w:after="0"/>
        <w:ind w:left="0"/>
        <w:jc w:val="both"/>
      </w:pPr>
      <w:r>
        <w:rPr>
          <w:rFonts w:ascii="Times New Roman"/>
          <w:b w:val="false"/>
          <w:i w:val="false"/>
          <w:color w:val="000000"/>
          <w:sz w:val="28"/>
        </w:rPr>
        <w:t>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6" w:id="34"/>
    <w:p>
      <w:pPr>
        <w:spacing w:after="0"/>
        <w:ind w:left="0"/>
        <w:jc w:val="both"/>
      </w:pPr>
      <w:r>
        <w:rPr>
          <w:rFonts w:ascii="Times New Roman"/>
          <w:b w:val="false"/>
          <w:i w:val="false"/>
          <w:color w:val="000000"/>
          <w:sz w:val="28"/>
        </w:rPr>
        <w:t xml:space="preserve">
      "1.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и определяет порядок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(далее-государственная услуга).";</w:t>
      </w:r>
    </w:p>
    <w:bookmarkEnd w:id="34"/>
    <w:bookmarkStart w:name="z177" w:id="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35"/>
    <w:bookmarkStart w:name="z178" w:id="36"/>
    <w:p>
      <w:pPr>
        <w:spacing w:after="0"/>
        <w:ind w:left="0"/>
        <w:jc w:val="both"/>
      </w:pPr>
      <w:r>
        <w:rPr>
          <w:rFonts w:ascii="Times New Roman"/>
          <w:b w:val="false"/>
          <w:i w:val="false"/>
          <w:color w:val="000000"/>
          <w:sz w:val="28"/>
        </w:rPr>
        <w:t>
      "Приложение 4 к Правилам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bookmarkEnd w:id="36"/>
    <w:bookmarkStart w:name="z179"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bookmarkEnd w:id="37"/>
    <w:bookmarkStart w:name="z180" w:id="38"/>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38"/>
    <w:bookmarkStart w:name="z181"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bl>
    <w:bookmarkStart w:name="z182" w:id="40"/>
    <w:p>
      <w:pPr>
        <w:spacing w:after="0"/>
        <w:ind w:left="0"/>
        <w:jc w:val="both"/>
      </w:pPr>
      <w:r>
        <w:rPr>
          <w:rFonts w:ascii="Times New Roman"/>
          <w:b w:val="false"/>
          <w:i w:val="false"/>
          <w:color w:val="000000"/>
          <w:sz w:val="28"/>
        </w:rPr>
        <w:t>
      ".</w:t>
      </w:r>
    </w:p>
    <w:bookmarkEnd w:id="40"/>
    <w:bookmarkStart w:name="z183" w:id="41"/>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интернет-ресурсе Министерства юстиции Республики Казахстан.</w:t>
      </w:r>
    </w:p>
    <w:bookmarkEnd w:id="41"/>
    <w:bookmarkStart w:name="z184" w:id="4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юстиции Республики Казахстан.</w:t>
      </w:r>
    </w:p>
    <w:bookmarkEnd w:id="42"/>
    <w:bookmarkStart w:name="z185" w:id="4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bookmarkStart w:name="z187"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