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787a" w14:textId="8d37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февраля 2022 года № 20. Зарегистрировано в Министерстве юстиции Республики Казахстан 15 марта 2022 года № 27113.</w:t>
      </w:r>
    </w:p>
    <w:p>
      <w:pPr>
        <w:spacing w:after="0"/>
        <w:ind w:left="0"/>
        <w:jc w:val="both"/>
      </w:pPr>
      <w:bookmarkStart w:name="z20" w:id="0"/>
      <w:r>
        <w:rPr>
          <w:rFonts w:ascii="Times New Roman"/>
          <w:b w:val="false"/>
          <w:i w:val="false"/>
          <w:color w:val="ff0000"/>
          <w:sz w:val="28"/>
        </w:rPr>
        <w:t xml:space="preserve">
      Сноска. Заголовок - в редакции постановления Правления Национального Банка РК от 17.09.2022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 абзацем третьим части первой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Национального Банка Республики Казахстан </w:t>
      </w:r>
      <w:r>
        <w:rPr>
          <w:rFonts w:ascii="Times New Roman"/>
          <w:b/>
          <w:i w:val="false"/>
          <w:color w:val="000000"/>
          <w:sz w:val="28"/>
        </w:rPr>
        <w:t>ПОСТАНОВЛЯЕТ: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02.12.2025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постановления Правления Национального Банка РК от 17.09.2022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привести внутреннюю документацию в соответствие с настоящим постановлением в течение трех месяцев со дня введения в действие настоящего постановления.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 в редакции постановления Правления Национального Банка РК от 17.09.2022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3. Департаменту наличного денежного обращения (Кажмуратов Ж.Т.) в установленном законодательством Республики Казахстан порядке обеспечить:</w:t>
      </w:r>
    </w:p>
    <w:bookmarkEnd w:id="4"/>
    <w:bookmarkStart w:name="z8" w:id="5"/>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Вагапова Д.В.</w:t>
      </w:r>
    </w:p>
    <w:bookmarkEnd w:id="8"/>
    <w:bookmarkStart w:name="z12"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Правления</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p>
        </w:tc>
      </w:tr>
    </w:tbl>
    <w:bookmarkStart w:name="z16" w:id="11"/>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1"/>
    <w:p>
      <w:pPr>
        <w:spacing w:after="0"/>
        <w:ind w:left="0"/>
        <w:jc w:val="both"/>
      </w:pPr>
      <w:r>
        <w:rPr>
          <w:rFonts w:ascii="Times New Roman"/>
          <w:b w:val="false"/>
          <w:i w:val="false"/>
          <w:color w:val="ff0000"/>
          <w:sz w:val="28"/>
        </w:rPr>
        <w:t xml:space="preserve">
      Сноска. Требования - в редакции постановления Правления Национального Банка РК от 02.12.2025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 w:id="12"/>
    <w:p>
      <w:pPr>
        <w:spacing w:after="0"/>
        <w:ind w:left="0"/>
        <w:jc w:val="left"/>
      </w:pPr>
      <w:r>
        <w:rPr>
          <w:rFonts w:ascii="Times New Roman"/>
          <w:b/>
          <w:i w:val="false"/>
          <w:color w:val="000000"/>
        </w:rPr>
        <w:t xml:space="preserve"> Глава 1. Общие положения</w:t>
      </w:r>
    </w:p>
    <w:bookmarkEnd w:id="12"/>
    <w:bookmarkStart w:name="z269" w:id="13"/>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Требования) разработаны в соответствии с абзацем третьим части первой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и распространяются на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организации).</w:t>
      </w:r>
    </w:p>
    <w:bookmarkEnd w:id="13"/>
    <w:bookmarkStart w:name="z270" w:id="14"/>
    <w:p>
      <w:pPr>
        <w:spacing w:after="0"/>
        <w:ind w:left="0"/>
        <w:jc w:val="both"/>
      </w:pPr>
      <w:r>
        <w:rPr>
          <w:rFonts w:ascii="Times New Roman"/>
          <w:b w:val="false"/>
          <w:i w:val="false"/>
          <w:color w:val="000000"/>
          <w:sz w:val="28"/>
        </w:rPr>
        <w:t>
      2. Если Требованиями не предусмотрено иное, то понятия, применяемые в Требованиях, используются в значениях, указанных в Законе о ПОД/ФТ/ФРОМУ.</w:t>
      </w:r>
    </w:p>
    <w:bookmarkEnd w:id="14"/>
    <w:bookmarkStart w:name="z271" w:id="15"/>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15"/>
    <w:bookmarkStart w:name="z23" w:id="16"/>
    <w:p>
      <w:pPr>
        <w:spacing w:after="0"/>
        <w:ind w:left="0"/>
        <w:jc w:val="both"/>
      </w:pPr>
      <w:r>
        <w:rPr>
          <w:rFonts w:ascii="Times New Roman"/>
          <w:b w:val="false"/>
          <w:i w:val="false"/>
          <w:color w:val="000000"/>
          <w:sz w:val="28"/>
        </w:rPr>
        <w:t xml:space="preserve">
      1) необычная операция (сделка) – операция (сделка),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организацией самостоятельно;</w:t>
      </w:r>
    </w:p>
    <w:bookmarkEnd w:id="16"/>
    <w:bookmarkStart w:name="z24" w:id="17"/>
    <w:p>
      <w:pPr>
        <w:spacing w:after="0"/>
        <w:ind w:left="0"/>
        <w:jc w:val="both"/>
      </w:pPr>
      <w:r>
        <w:rPr>
          <w:rFonts w:ascii="Times New Roman"/>
          <w:b w:val="false"/>
          <w:i w:val="false"/>
          <w:color w:val="000000"/>
          <w:sz w:val="28"/>
        </w:rPr>
        <w:t>
      2) бенефициарный собственник – физическое лицо:</w:t>
      </w:r>
    </w:p>
    <w:bookmarkEnd w:id="17"/>
    <w:bookmarkStart w:name="z25" w:id="18"/>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w:t>
      </w:r>
    </w:p>
    <w:bookmarkEnd w:id="18"/>
    <w:bookmarkStart w:name="z26" w:id="19"/>
    <w:p>
      <w:pPr>
        <w:spacing w:after="0"/>
        <w:ind w:left="0"/>
        <w:jc w:val="both"/>
      </w:pPr>
      <w:r>
        <w:rPr>
          <w:rFonts w:ascii="Times New Roman"/>
          <w:b w:val="false"/>
          <w:i w:val="false"/>
          <w:color w:val="000000"/>
          <w:sz w:val="28"/>
        </w:rPr>
        <w:t>
      осуществляющее контроль над клиентом иным образом;</w:t>
      </w:r>
    </w:p>
    <w:bookmarkEnd w:id="19"/>
    <w:bookmarkStart w:name="z27" w:id="20"/>
    <w:p>
      <w:pPr>
        <w:spacing w:after="0"/>
        <w:ind w:left="0"/>
        <w:jc w:val="both"/>
      </w:pPr>
      <w:r>
        <w:rPr>
          <w:rFonts w:ascii="Times New Roman"/>
          <w:b w:val="false"/>
          <w:i w:val="false"/>
          <w:color w:val="000000"/>
          <w:sz w:val="28"/>
        </w:rPr>
        <w:t>
      в интересах которого клиентом совершаются операции с деньгами и (или) иным имуществом;</w:t>
      </w:r>
    </w:p>
    <w:bookmarkEnd w:id="20"/>
    <w:bookmarkStart w:name="z28" w:id="21"/>
    <w:p>
      <w:pPr>
        <w:spacing w:after="0"/>
        <w:ind w:left="0"/>
        <w:jc w:val="both"/>
      </w:pPr>
      <w:r>
        <w:rPr>
          <w:rFonts w:ascii="Times New Roman"/>
          <w:b w:val="false"/>
          <w:i w:val="false"/>
          <w:color w:val="000000"/>
          <w:sz w:val="28"/>
        </w:rPr>
        <w:t>
      3) выделенный канал связи – способ электронного взаимодействия организации путем регистрации на платформе уполномоченного органа по финансовому мониторингу;</w:t>
      </w:r>
    </w:p>
    <w:bookmarkEnd w:id="21"/>
    <w:bookmarkStart w:name="z29" w:id="22"/>
    <w:p>
      <w:pPr>
        <w:spacing w:after="0"/>
        <w:ind w:left="0"/>
        <w:jc w:val="both"/>
      </w:pPr>
      <w:r>
        <w:rPr>
          <w:rFonts w:ascii="Times New Roman"/>
          <w:b w:val="false"/>
          <w:i w:val="false"/>
          <w:color w:val="000000"/>
          <w:sz w:val="28"/>
        </w:rPr>
        <w:t>
      4) разовая операция (сделка) – отношения по предоставлению организацией услуг в виде покупки, продажи или обмена клиентом наличной иностранной валюты, покупки и (или) продажи аффинированного золота в слитках, выпущенных Национальным Банком Республики Казахстан через обменный пункт;</w:t>
      </w:r>
    </w:p>
    <w:bookmarkEnd w:id="22"/>
    <w:bookmarkStart w:name="z30" w:id="23"/>
    <w:p>
      <w:pPr>
        <w:spacing w:after="0"/>
        <w:ind w:left="0"/>
        <w:jc w:val="both"/>
      </w:pPr>
      <w:r>
        <w:rPr>
          <w:rFonts w:ascii="Times New Roman"/>
          <w:b w:val="false"/>
          <w:i w:val="false"/>
          <w:color w:val="000000"/>
          <w:sz w:val="28"/>
        </w:rPr>
        <w:t>
      5) публичное должностное лицо:</w:t>
      </w:r>
    </w:p>
    <w:bookmarkEnd w:id="23"/>
    <w:bookmarkStart w:name="z31" w:id="24"/>
    <w:p>
      <w:pPr>
        <w:spacing w:after="0"/>
        <w:ind w:left="0"/>
        <w:jc w:val="both"/>
      </w:pPr>
      <w:r>
        <w:rPr>
          <w:rFonts w:ascii="Times New Roman"/>
          <w:b w:val="false"/>
          <w:i w:val="false"/>
          <w:color w:val="000000"/>
          <w:sz w:val="28"/>
        </w:rPr>
        <w:t>
      лицо, занимающее ответственную государственную должность;</w:t>
      </w:r>
    </w:p>
    <w:bookmarkEnd w:id="24"/>
    <w:bookmarkStart w:name="z32" w:id="25"/>
    <w:p>
      <w:pPr>
        <w:spacing w:after="0"/>
        <w:ind w:left="0"/>
        <w:jc w:val="both"/>
      </w:pPr>
      <w:r>
        <w:rPr>
          <w:rFonts w:ascii="Times New Roman"/>
          <w:b w:val="false"/>
          <w:i w:val="false"/>
          <w:color w:val="000000"/>
          <w:sz w:val="28"/>
        </w:rPr>
        <w:t>
      должностное лицо;</w:t>
      </w:r>
    </w:p>
    <w:bookmarkEnd w:id="25"/>
    <w:bookmarkStart w:name="z33" w:id="26"/>
    <w:p>
      <w:pPr>
        <w:spacing w:after="0"/>
        <w:ind w:left="0"/>
        <w:jc w:val="both"/>
      </w:pPr>
      <w:r>
        <w:rPr>
          <w:rFonts w:ascii="Times New Roman"/>
          <w:b w:val="false"/>
          <w:i w:val="false"/>
          <w:color w:val="000000"/>
          <w:sz w:val="28"/>
        </w:rPr>
        <w:t>
      лицо, уполномоченное на выполнение государственных функций;</w:t>
      </w:r>
    </w:p>
    <w:bookmarkEnd w:id="26"/>
    <w:bookmarkStart w:name="z34" w:id="27"/>
    <w:p>
      <w:pPr>
        <w:spacing w:after="0"/>
        <w:ind w:left="0"/>
        <w:jc w:val="both"/>
      </w:pPr>
      <w:r>
        <w:rPr>
          <w:rFonts w:ascii="Times New Roman"/>
          <w:b w:val="false"/>
          <w:i w:val="false"/>
          <w:color w:val="000000"/>
          <w:sz w:val="28"/>
        </w:rPr>
        <w:t>
      лицо, исполняющее управленческие функции в государственной организации или субъекте квазигосударственного сектора;</w:t>
      </w:r>
    </w:p>
    <w:bookmarkEnd w:id="27"/>
    <w:bookmarkStart w:name="z35" w:id="28"/>
    <w:p>
      <w:pPr>
        <w:spacing w:after="0"/>
        <w:ind w:left="0"/>
        <w:jc w:val="both"/>
      </w:pPr>
      <w:r>
        <w:rPr>
          <w:rFonts w:ascii="Times New Roman"/>
          <w:b w:val="false"/>
          <w:i w:val="false"/>
          <w:color w:val="000000"/>
          <w:sz w:val="28"/>
        </w:rPr>
        <w:t>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bookmarkEnd w:id="28"/>
    <w:bookmarkStart w:name="z36" w:id="29"/>
    <w:p>
      <w:pPr>
        <w:spacing w:after="0"/>
        <w:ind w:left="0"/>
        <w:jc w:val="both"/>
      </w:pPr>
      <w:r>
        <w:rPr>
          <w:rFonts w:ascii="Times New Roman"/>
          <w:b w:val="false"/>
          <w:i w:val="false"/>
          <w:color w:val="000000"/>
          <w:sz w:val="28"/>
        </w:rPr>
        <w:t>
      лицо, выполняющее какую-либо публичную функцию для иностранного государства;</w:t>
      </w:r>
    </w:p>
    <w:bookmarkEnd w:id="29"/>
    <w:bookmarkStart w:name="z37" w:id="30"/>
    <w:p>
      <w:pPr>
        <w:spacing w:after="0"/>
        <w:ind w:left="0"/>
        <w:jc w:val="both"/>
      </w:pPr>
      <w:r>
        <w:rPr>
          <w:rFonts w:ascii="Times New Roman"/>
          <w:b w:val="false"/>
          <w:i w:val="false"/>
          <w:color w:val="000000"/>
          <w:sz w:val="28"/>
        </w:rPr>
        <w:t>
      лицо, занимающее руководящую должность в организациях, созданных государствами на основе соглашений, которые имеют статус международных договоров;</w:t>
      </w:r>
    </w:p>
    <w:bookmarkEnd w:id="30"/>
    <w:bookmarkStart w:name="z38" w:id="31"/>
    <w:p>
      <w:pPr>
        <w:spacing w:after="0"/>
        <w:ind w:left="0"/>
        <w:jc w:val="both"/>
      </w:pPr>
      <w:r>
        <w:rPr>
          <w:rFonts w:ascii="Times New Roman"/>
          <w:b w:val="false"/>
          <w:i w:val="false"/>
          <w:color w:val="000000"/>
          <w:sz w:val="28"/>
        </w:rPr>
        <w:t>
      6) личный кабинет – профиль пользователя (субъекта финансового мониторинга) на выделенных каналах связи уполномоченного органа по финансовому мониторингу в информационно-телекоммуникационной сети Интернет, обеспечивающий электронное взаимодействие его пользователей (субъектов финансового мониторинга) с уполномоченным органом по финансовому мониторингу;</w:t>
      </w:r>
    </w:p>
    <w:bookmarkEnd w:id="31"/>
    <w:bookmarkStart w:name="z39" w:id="32"/>
    <w:p>
      <w:pPr>
        <w:spacing w:after="0"/>
        <w:ind w:left="0"/>
        <w:jc w:val="both"/>
      </w:pPr>
      <w:r>
        <w:rPr>
          <w:rFonts w:ascii="Times New Roman"/>
          <w:b w:val="false"/>
          <w:i w:val="false"/>
          <w:color w:val="000000"/>
          <w:sz w:val="28"/>
        </w:rPr>
        <w:t>
      7) риски ОД/ФТ/ФРОМУ – риски преднамеренного или непреднамеренного вовлечения организации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или иную преступную деятельность;</w:t>
      </w:r>
    </w:p>
    <w:bookmarkEnd w:id="32"/>
    <w:bookmarkStart w:name="z40" w:id="33"/>
    <w:p>
      <w:pPr>
        <w:spacing w:after="0"/>
        <w:ind w:left="0"/>
        <w:jc w:val="both"/>
      </w:pPr>
      <w:r>
        <w:rPr>
          <w:rFonts w:ascii="Times New Roman"/>
          <w:b w:val="false"/>
          <w:i w:val="false"/>
          <w:color w:val="000000"/>
          <w:sz w:val="28"/>
        </w:rPr>
        <w:t>
      8) управление рисками ОД/ФТ/ФРОМУ – совокупность принимаемых организацией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33"/>
    <w:bookmarkStart w:name="z41" w:id="34"/>
    <w:p>
      <w:pPr>
        <w:spacing w:after="0"/>
        <w:ind w:left="0"/>
        <w:jc w:val="both"/>
      </w:pPr>
      <w:r>
        <w:rPr>
          <w:rFonts w:ascii="Times New Roman"/>
          <w:b w:val="false"/>
          <w:i w:val="false"/>
          <w:color w:val="000000"/>
          <w:sz w:val="28"/>
        </w:rPr>
        <w:t>
      9) подозрительная деятельность клиента, подлежащая финансовому мониторингу, – совокупность двух и более подозрительных операций клиента с деньгами и (или) иным имуществом, в отношении которых у субъекта финансового мониторинга возникают подозрения о том, что деньги и (или) иное имущество, используемые для их совершения, являются доходом от преступной деятельности, финансирования терроризма и финансирования распространения оружия массового уничтожения;</w:t>
      </w:r>
    </w:p>
    <w:bookmarkEnd w:id="34"/>
    <w:bookmarkStart w:name="z42" w:id="35"/>
    <w:p>
      <w:pPr>
        <w:spacing w:after="0"/>
        <w:ind w:left="0"/>
        <w:jc w:val="both"/>
      </w:pPr>
      <w:r>
        <w:rPr>
          <w:rFonts w:ascii="Times New Roman"/>
          <w:b w:val="false"/>
          <w:i w:val="false"/>
          <w:color w:val="000000"/>
          <w:sz w:val="28"/>
        </w:rPr>
        <w:t>
      10)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5"/>
    <w:bookmarkStart w:name="z43" w:id="36"/>
    <w:p>
      <w:pPr>
        <w:spacing w:after="0"/>
        <w:ind w:left="0"/>
        <w:jc w:val="both"/>
      </w:pPr>
      <w:r>
        <w:rPr>
          <w:rFonts w:ascii="Times New Roman"/>
          <w:b w:val="false"/>
          <w:i w:val="false"/>
          <w:color w:val="000000"/>
          <w:sz w:val="28"/>
        </w:rPr>
        <w:t>
      11) скоринговый модуль - автоматизированная система, содержащая в себе информацию из разных источников данных для риск-идентификации клиента (его представителя), используемая субъектами финансового мониторинга на добровольной основе;</w:t>
      </w:r>
    </w:p>
    <w:bookmarkEnd w:id="36"/>
    <w:bookmarkStart w:name="z44" w:id="37"/>
    <w:p>
      <w:pPr>
        <w:spacing w:after="0"/>
        <w:ind w:left="0"/>
        <w:jc w:val="both"/>
      </w:pPr>
      <w:r>
        <w:rPr>
          <w:rFonts w:ascii="Times New Roman"/>
          <w:b w:val="false"/>
          <w:i w:val="false"/>
          <w:color w:val="000000"/>
          <w:sz w:val="28"/>
        </w:rPr>
        <w:t xml:space="preserve">
      12) пороговая операция – операция с деньгами и (или) иным имуществом, подлежащая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ПОД/ФТ/ФРОМУ и равная либо превышающая установленную Законом о ПОД/ФТ/ФРОМУ пороговую сумму;</w:t>
      </w:r>
    </w:p>
    <w:bookmarkEnd w:id="37"/>
    <w:bookmarkStart w:name="z45" w:id="38"/>
    <w:p>
      <w:pPr>
        <w:spacing w:after="0"/>
        <w:ind w:left="0"/>
        <w:jc w:val="both"/>
      </w:pPr>
      <w:r>
        <w:rPr>
          <w:rFonts w:ascii="Times New Roman"/>
          <w:b w:val="false"/>
          <w:i w:val="false"/>
          <w:color w:val="000000"/>
          <w:sz w:val="28"/>
        </w:rPr>
        <w:t>
      13) деловые отношения - отношения с клиентами, возникающие в процессе осуществления субъектом финансового мониторинга профессиональной деятельности.</w:t>
      </w:r>
    </w:p>
    <w:bookmarkEnd w:id="38"/>
    <w:bookmarkStart w:name="z46" w:id="39"/>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ПОД/ФТ/ФРОМУ) осуществляется организацией в целях:</w:t>
      </w:r>
    </w:p>
    <w:bookmarkEnd w:id="39"/>
    <w:bookmarkStart w:name="z47" w:id="40"/>
    <w:p>
      <w:pPr>
        <w:spacing w:after="0"/>
        <w:ind w:left="0"/>
        <w:jc w:val="both"/>
      </w:pPr>
      <w:r>
        <w:rPr>
          <w:rFonts w:ascii="Times New Roman"/>
          <w:b w:val="false"/>
          <w:i w:val="false"/>
          <w:color w:val="000000"/>
          <w:sz w:val="28"/>
        </w:rPr>
        <w:t>
      1) обеспечения выполнения организацией требований Закона о ПОД/ФТ/ФРОМУ;</w:t>
      </w:r>
    </w:p>
    <w:bookmarkEnd w:id="40"/>
    <w:bookmarkStart w:name="z48" w:id="41"/>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организации на уровне, достаточном для управления рисками легализации ОД/ФТ/ФРОМУ и сопряженными рисками (операционного, репутационного);</w:t>
      </w:r>
    </w:p>
    <w:bookmarkEnd w:id="41"/>
    <w:bookmarkStart w:name="z49" w:id="42"/>
    <w:p>
      <w:pPr>
        <w:spacing w:after="0"/>
        <w:ind w:left="0"/>
        <w:jc w:val="both"/>
      </w:pPr>
      <w:r>
        <w:rPr>
          <w:rFonts w:ascii="Times New Roman"/>
          <w:b w:val="false"/>
          <w:i w:val="false"/>
          <w:color w:val="000000"/>
          <w:sz w:val="28"/>
        </w:rPr>
        <w:t>
      3) исключения вовлечения организации, ее должностных лиц и работников в процессы ОД/ФТ/ФРОМУ.</w:t>
      </w:r>
    </w:p>
    <w:bookmarkEnd w:id="42"/>
    <w:bookmarkStart w:name="z50" w:id="43"/>
    <w:p>
      <w:pPr>
        <w:spacing w:after="0"/>
        <w:ind w:left="0"/>
        <w:jc w:val="both"/>
      </w:pPr>
      <w:r>
        <w:rPr>
          <w:rFonts w:ascii="Times New Roman"/>
          <w:b w:val="false"/>
          <w:i w:val="false"/>
          <w:color w:val="000000"/>
          <w:sz w:val="28"/>
        </w:rPr>
        <w:t>
      4. В рамках организации внутреннего контроля в целях ПОД/ФТ/ФРОМУ в организации разрабатываются и принимаются органом управления или исполнительным органом организации правила внутреннего контроля, включающие требования к проведению независимого аудита в случае наличия решения органа управления или исполнительного органа организации на проведение независимого аудита, службой внутреннего аудита организации либо иным органом, уполномоченным на проведение внутреннего аудита, оценки эффективности внутреннего контроля в целях ПОД/ФТ/ФРОМУ.</w:t>
      </w:r>
    </w:p>
    <w:bookmarkEnd w:id="43"/>
    <w:bookmarkStart w:name="z51" w:id="44"/>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w:t>
      </w:r>
    </w:p>
    <w:bookmarkEnd w:id="44"/>
    <w:bookmarkStart w:name="z52" w:id="45"/>
    <w:p>
      <w:pPr>
        <w:spacing w:after="0"/>
        <w:ind w:left="0"/>
        <w:jc w:val="left"/>
      </w:pPr>
      <w:r>
        <w:rPr>
          <w:rFonts w:ascii="Times New Roman"/>
          <w:b/>
          <w:i w:val="false"/>
          <w:color w:val="000000"/>
        </w:rPr>
        <w:t xml:space="preserve"> Глава 2. Организация внутренней системы ПОД/ФТ/ФРОМУ и программа организации внутреннего контроля в целях ПОД/ФТ/ФРОМУ</w:t>
      </w:r>
    </w:p>
    <w:bookmarkEnd w:id="45"/>
    <w:bookmarkStart w:name="z53" w:id="46"/>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должностное лицо, ответственное за реализацию и соблюдение правил внутреннего контроля (далее – ответственный работник), а также определяются работники, ответственные за реализацию и соблюдение правил внутреннего контроля, либо подразделение организации, в компетенцию которого входят вопросы ПОД/ФТ/ФРОМУ (далее – подразделение по ПОД/ФТ/ФРОМУ).</w:t>
      </w:r>
    </w:p>
    <w:bookmarkEnd w:id="46"/>
    <w:bookmarkStart w:name="z54" w:id="47"/>
    <w:p>
      <w:pPr>
        <w:spacing w:after="0"/>
        <w:ind w:left="0"/>
        <w:jc w:val="both"/>
      </w:pPr>
      <w:r>
        <w:rPr>
          <w:rFonts w:ascii="Times New Roman"/>
          <w:b w:val="false"/>
          <w:i w:val="false"/>
          <w:color w:val="000000"/>
          <w:sz w:val="28"/>
        </w:rPr>
        <w:t>
      6. Требованиями к ответственному работнику являются:</w:t>
      </w:r>
    </w:p>
    <w:bookmarkEnd w:id="47"/>
    <w:bookmarkStart w:name="z55" w:id="48"/>
    <w:p>
      <w:pPr>
        <w:spacing w:after="0"/>
        <w:ind w:left="0"/>
        <w:jc w:val="both"/>
      </w:pPr>
      <w:r>
        <w:rPr>
          <w:rFonts w:ascii="Times New Roman"/>
          <w:b w:val="false"/>
          <w:i w:val="false"/>
          <w:color w:val="000000"/>
          <w:sz w:val="28"/>
        </w:rPr>
        <w:t>
      1) наличие высшего образования;</w:t>
      </w:r>
    </w:p>
    <w:bookmarkEnd w:id="48"/>
    <w:bookmarkStart w:name="z56" w:id="49"/>
    <w:p>
      <w:pPr>
        <w:spacing w:after="0"/>
        <w:ind w:left="0"/>
        <w:jc w:val="both"/>
      </w:pPr>
      <w:r>
        <w:rPr>
          <w:rFonts w:ascii="Times New Roman"/>
          <w:b w:val="false"/>
          <w:i w:val="false"/>
          <w:color w:val="000000"/>
          <w:sz w:val="28"/>
        </w:rPr>
        <w:t>
      2) наличие стажа работы в финансовых организациях не менее двух лет (за исключением опыта работы на должностях технического или вспомогательного персонала);</w:t>
      </w:r>
    </w:p>
    <w:bookmarkEnd w:id="49"/>
    <w:bookmarkStart w:name="z57" w:id="50"/>
    <w:p>
      <w:pPr>
        <w:spacing w:after="0"/>
        <w:ind w:left="0"/>
        <w:jc w:val="both"/>
      </w:pPr>
      <w:r>
        <w:rPr>
          <w:rFonts w:ascii="Times New Roman"/>
          <w:b w:val="false"/>
          <w:i w:val="false"/>
          <w:color w:val="000000"/>
          <w:sz w:val="28"/>
        </w:rPr>
        <w:t>
      3) наличие безупречной деловой репутации;</w:t>
      </w:r>
    </w:p>
    <w:bookmarkEnd w:id="50"/>
    <w:bookmarkStart w:name="z58" w:id="51"/>
    <w:p>
      <w:pPr>
        <w:spacing w:after="0"/>
        <w:ind w:left="0"/>
        <w:jc w:val="both"/>
      </w:pPr>
      <w:r>
        <w:rPr>
          <w:rFonts w:ascii="Times New Roman"/>
          <w:b w:val="false"/>
          <w:i w:val="false"/>
          <w:color w:val="000000"/>
          <w:sz w:val="28"/>
        </w:rPr>
        <w:t>
      4) наличие подтверждающего документа о прохождении тестирования в соответствии c требованиями к субъектам финансового мониторинга по подготовке и обучению в сфере ПОД/ФТ/ФРОМУ, утверждаемыми уполномоченным органом по финансовому мониторингу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РК о ПОД/ФТ/ФРОМУ.</w:t>
      </w:r>
    </w:p>
    <w:bookmarkEnd w:id="51"/>
    <w:bookmarkStart w:name="z59" w:id="52"/>
    <w:p>
      <w:pPr>
        <w:spacing w:after="0"/>
        <w:ind w:left="0"/>
        <w:jc w:val="both"/>
      </w:pPr>
      <w:r>
        <w:rPr>
          <w:rFonts w:ascii="Times New Roman"/>
          <w:b w:val="false"/>
          <w:i w:val="false"/>
          <w:color w:val="000000"/>
          <w:sz w:val="28"/>
        </w:rPr>
        <w:t>
      7. Программа организации внутреннего контроля в целях ПОД/ФТ/ФРОМУ включает, но не ограничивается:</w:t>
      </w:r>
    </w:p>
    <w:bookmarkEnd w:id="52"/>
    <w:bookmarkStart w:name="z60" w:id="53"/>
    <w:p>
      <w:pPr>
        <w:spacing w:after="0"/>
        <w:ind w:left="0"/>
        <w:jc w:val="both"/>
      </w:pPr>
      <w:r>
        <w:rPr>
          <w:rFonts w:ascii="Times New Roman"/>
          <w:b w:val="false"/>
          <w:i w:val="false"/>
          <w:color w:val="000000"/>
          <w:sz w:val="28"/>
        </w:rPr>
        <w:t>
      1) описание функций подразделения по ПОД/ФТ/ФРОМУ, в том числе, порядок взаимодействия с другими подразделениями и персоналом организации, филиалами при осуществлении внутреннего контроля в целях ПОД/ФТ/ФРОМУ, а также функций, полномочий ответственного работника, порядок взаимодействия ответственного работника с уполномоченными органами и должностными лицами организации;</w:t>
      </w:r>
    </w:p>
    <w:bookmarkEnd w:id="53"/>
    <w:bookmarkStart w:name="z61" w:id="54"/>
    <w:p>
      <w:pPr>
        <w:spacing w:after="0"/>
        <w:ind w:left="0"/>
        <w:jc w:val="both"/>
      </w:pPr>
      <w:r>
        <w:rPr>
          <w:rFonts w:ascii="Times New Roman"/>
          <w:b w:val="false"/>
          <w:i w:val="false"/>
          <w:color w:val="000000"/>
          <w:sz w:val="28"/>
        </w:rPr>
        <w:t>
      2) сведения об автоматизированных информационных системах и программном обеспечении, используемых для осуществления внутреннего контроля в целях ПОД/ФТ/ФРОМУ и передачи сообщений в уполномоченный орган по финансовому мониторингу по выделенным каналам связи, в том числе сведения об их разработчиках;</w:t>
      </w:r>
    </w:p>
    <w:bookmarkEnd w:id="54"/>
    <w:bookmarkStart w:name="z62" w:id="55"/>
    <w:p>
      <w:pPr>
        <w:spacing w:after="0"/>
        <w:ind w:left="0"/>
        <w:jc w:val="both"/>
      </w:pPr>
      <w:r>
        <w:rPr>
          <w:rFonts w:ascii="Times New Roman"/>
          <w:b w:val="false"/>
          <w:i w:val="false"/>
          <w:color w:val="000000"/>
          <w:sz w:val="28"/>
        </w:rPr>
        <w:t>
      3) порядок фиксирования сведений, а также хранения документов и информации, полученных в ходе реализации внутреннего контроля в целях ПОД/ФТ/ФРОМУ с учетом возможности их использования в качестве доказательства в суде, чтобы они могли быть своевременно доступны уполномоченному органу по финансовому мониторингу, а также иным государственным органам в соответствии с их компетенцией;</w:t>
      </w:r>
    </w:p>
    <w:bookmarkEnd w:id="55"/>
    <w:bookmarkStart w:name="z63" w:id="56"/>
    <w:p>
      <w:pPr>
        <w:spacing w:after="0"/>
        <w:ind w:left="0"/>
        <w:jc w:val="both"/>
      </w:pPr>
      <w:r>
        <w:rPr>
          <w:rFonts w:ascii="Times New Roman"/>
          <w:b w:val="false"/>
          <w:i w:val="false"/>
          <w:color w:val="000000"/>
          <w:sz w:val="28"/>
        </w:rPr>
        <w:t>
      4) порядок информирования работниками организации, в том числе ответственным работником, уполномоченных органов и должностных лиц организации о ставших им известными фактах нарушения Закона о ПОД/ФТ/ФРОМУ, а также правил внутреннего контроля, допущенных работниками организации;</w:t>
      </w:r>
    </w:p>
    <w:bookmarkEnd w:id="56"/>
    <w:bookmarkStart w:name="z64" w:id="57"/>
    <w:p>
      <w:pPr>
        <w:spacing w:after="0"/>
        <w:ind w:left="0"/>
        <w:jc w:val="both"/>
      </w:pPr>
      <w:r>
        <w:rPr>
          <w:rFonts w:ascii="Times New Roman"/>
          <w:b w:val="false"/>
          <w:i w:val="false"/>
          <w:color w:val="000000"/>
          <w:sz w:val="28"/>
        </w:rPr>
        <w:t>
      5) описание требований по ПОД/ФТ/ФРОМУ (при наличии), установленных юридическим лицом, которое имеет контроль над организацией;</w:t>
      </w:r>
    </w:p>
    <w:bookmarkEnd w:id="57"/>
    <w:bookmarkStart w:name="z65" w:id="58"/>
    <w:p>
      <w:pPr>
        <w:spacing w:after="0"/>
        <w:ind w:left="0"/>
        <w:jc w:val="both"/>
      </w:pPr>
      <w:r>
        <w:rPr>
          <w:rFonts w:ascii="Times New Roman"/>
          <w:b w:val="false"/>
          <w:i w:val="false"/>
          <w:color w:val="000000"/>
          <w:sz w:val="28"/>
        </w:rPr>
        <w:t>
      6) порядок подготовки и представления уполномоченным органам и должностным лицам организации управленческой отчетности по результатам оценки эффективности внутреннего контроля в целях ПОД/ФТ/ФРОМУ службой внутреннего аудита организации либо иным органом, уполномоченным на проведение внутреннего аудита;</w:t>
      </w:r>
    </w:p>
    <w:bookmarkEnd w:id="58"/>
    <w:bookmarkStart w:name="z66" w:id="59"/>
    <w:p>
      <w:pPr>
        <w:spacing w:after="0"/>
        <w:ind w:left="0"/>
        <w:jc w:val="both"/>
      </w:pPr>
      <w:r>
        <w:rPr>
          <w:rFonts w:ascii="Times New Roman"/>
          <w:b w:val="false"/>
          <w:i w:val="false"/>
          <w:color w:val="000000"/>
          <w:sz w:val="28"/>
        </w:rPr>
        <w:t>
      7) порядок принятия решений ответственным работником, уполномоченными органами и (или) должностными лицами организации об установлении, продолжении либо прекращении деловых отношений с клиентами, о приостановлении либо отказе в проведении операций с деньгами и (или) с аффинированным золотом в слитках, выпущенных Национальным Банком Республики Казахстан, в случаях, предусмотренных Законом о ПОД/ФТ/ФРОМУ и в порядке, предусмотренном внутренними документами организации;</w:t>
      </w:r>
    </w:p>
    <w:bookmarkEnd w:id="59"/>
    <w:bookmarkStart w:name="z67" w:id="60"/>
    <w:p>
      <w:pPr>
        <w:spacing w:after="0"/>
        <w:ind w:left="0"/>
        <w:jc w:val="both"/>
      </w:pPr>
      <w:r>
        <w:rPr>
          <w:rFonts w:ascii="Times New Roman"/>
          <w:b w:val="false"/>
          <w:i w:val="false"/>
          <w:color w:val="000000"/>
          <w:sz w:val="28"/>
        </w:rPr>
        <w:t>
      8) порядок оценки, определения, документального фиксирования и обновления результатов оценки рисков ОД/ФТ/ФРОМУ;</w:t>
      </w:r>
    </w:p>
    <w:bookmarkEnd w:id="60"/>
    <w:bookmarkStart w:name="z68" w:id="61"/>
    <w:p>
      <w:pPr>
        <w:spacing w:after="0"/>
        <w:ind w:left="0"/>
        <w:jc w:val="both"/>
      </w:pPr>
      <w:r>
        <w:rPr>
          <w:rFonts w:ascii="Times New Roman"/>
          <w:b w:val="false"/>
          <w:i w:val="false"/>
          <w:color w:val="000000"/>
          <w:sz w:val="28"/>
        </w:rPr>
        <w:t>
      9) порядок регистрации и работы в личном кабинете, применения автоматизированных информационных систем и программных обеспечений, используемых для осуществления внутреннего контроля в целях ПОД/ФТ/ФРОМУ.</w:t>
      </w:r>
    </w:p>
    <w:bookmarkEnd w:id="61"/>
    <w:bookmarkStart w:name="z69" w:id="62"/>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62"/>
    <w:bookmarkStart w:name="z70" w:id="63"/>
    <w:p>
      <w:pPr>
        <w:spacing w:after="0"/>
        <w:ind w:left="0"/>
        <w:jc w:val="both"/>
      </w:pPr>
      <w:r>
        <w:rPr>
          <w:rFonts w:ascii="Times New Roman"/>
          <w:b w:val="false"/>
          <w:i w:val="false"/>
          <w:color w:val="000000"/>
          <w:sz w:val="28"/>
        </w:rPr>
        <w:t>
      1) обеспечение соблюдения требований гражданского, налогового, банковского законодательства Республики Казахстан и законодательства о ПОД/ФТ/ФРОМУ;</w:t>
      </w:r>
    </w:p>
    <w:bookmarkEnd w:id="63"/>
    <w:bookmarkStart w:name="z71" w:id="64"/>
    <w:p>
      <w:pPr>
        <w:spacing w:after="0"/>
        <w:ind w:left="0"/>
        <w:jc w:val="both"/>
      </w:pPr>
      <w:r>
        <w:rPr>
          <w:rFonts w:ascii="Times New Roman"/>
          <w:b w:val="false"/>
          <w:i w:val="false"/>
          <w:color w:val="000000"/>
          <w:sz w:val="28"/>
        </w:rPr>
        <w:t>
      2) организация представления и контроль за представлением сообщений в уполномоченный орган по финансовому мониторингу в соответствии с законодательством о ПОД/ФТ/ФРОМУ;</w:t>
      </w:r>
    </w:p>
    <w:bookmarkEnd w:id="64"/>
    <w:bookmarkStart w:name="z72" w:id="65"/>
    <w:p>
      <w:pPr>
        <w:spacing w:after="0"/>
        <w:ind w:left="0"/>
        <w:jc w:val="both"/>
      </w:pPr>
      <w:r>
        <w:rPr>
          <w:rFonts w:ascii="Times New Roman"/>
          <w:b w:val="false"/>
          <w:i w:val="false"/>
          <w:color w:val="000000"/>
          <w:sz w:val="28"/>
        </w:rPr>
        <w:t>
      3) обеспечение передачи в уполномоченный орган по финансовому мониторингу информации, сведений и документов о клиентах и о совершаемых ими операциях в соответствии с Законом о ПОД/ФТ/ФРОМУ без извещения клиентов и иных лиц;</w:t>
      </w:r>
    </w:p>
    <w:bookmarkEnd w:id="65"/>
    <w:bookmarkStart w:name="z73" w:id="66"/>
    <w:p>
      <w:pPr>
        <w:spacing w:after="0"/>
        <w:ind w:left="0"/>
        <w:jc w:val="both"/>
      </w:pPr>
      <w:r>
        <w:rPr>
          <w:rFonts w:ascii="Times New Roman"/>
          <w:b w:val="false"/>
          <w:i w:val="false"/>
          <w:color w:val="000000"/>
          <w:sz w:val="28"/>
        </w:rPr>
        <w:t>
      4) принятие решений о признании подозрительными операций клиентов и (или) их деятельности, и предоставлении в уполномоченный орган по финансовому мониторингу сведений и информации, которые содержат информацию об операциях и деятельности клиента в порядке, предусмотренном внутренними документами организации;</w:t>
      </w:r>
    </w:p>
    <w:bookmarkEnd w:id="66"/>
    <w:bookmarkStart w:name="z74" w:id="67"/>
    <w:p>
      <w:pPr>
        <w:spacing w:after="0"/>
        <w:ind w:left="0"/>
        <w:jc w:val="both"/>
      </w:pPr>
      <w:r>
        <w:rPr>
          <w:rFonts w:ascii="Times New Roman"/>
          <w:b w:val="false"/>
          <w:i w:val="false"/>
          <w:color w:val="000000"/>
          <w:sz w:val="28"/>
        </w:rPr>
        <w:t>
      5) принятие либо согласование с уполномоченным органом по финансовому мониторингу или должностным лицом организации решений об отказе клиенту в проведении операции с деньгами и (или) с аффинированным золотом в слитках, выпущенных Национальным Банком Республики Казахстан, и (или) в установлении деловых отношений, в случаях, предусмотренных Законом о ПОД/ФТ/ФРОМУ, и в порядке, предусмотренном внутренними документами организации;</w:t>
      </w:r>
    </w:p>
    <w:bookmarkEnd w:id="67"/>
    <w:bookmarkStart w:name="z75" w:id="68"/>
    <w:p>
      <w:pPr>
        <w:spacing w:after="0"/>
        <w:ind w:left="0"/>
        <w:jc w:val="both"/>
      </w:pPr>
      <w:r>
        <w:rPr>
          <w:rFonts w:ascii="Times New Roman"/>
          <w:b w:val="false"/>
          <w:i w:val="false"/>
          <w:color w:val="000000"/>
          <w:sz w:val="28"/>
        </w:rPr>
        <w:t>
      6) обеспечение невовлечения организации в противоправную деятельность, в том числе связанную с ОД/ФТ/ФРОМУ;</w:t>
      </w:r>
    </w:p>
    <w:bookmarkEnd w:id="68"/>
    <w:bookmarkStart w:name="z76" w:id="69"/>
    <w:p>
      <w:pPr>
        <w:spacing w:after="0"/>
        <w:ind w:left="0"/>
        <w:jc w:val="both"/>
      </w:pPr>
      <w:r>
        <w:rPr>
          <w:rFonts w:ascii="Times New Roman"/>
          <w:b w:val="false"/>
          <w:i w:val="false"/>
          <w:color w:val="000000"/>
          <w:sz w:val="28"/>
        </w:rPr>
        <w:t>
      7) направление запросов исполнительному органу организации для принятия решения об установлении, продолжении либо прекращении деловых отношений с клиентами в случаях и порядке, предусмотренных Законом о ПОД/ФТ/ФРОМУ и (или) внутренними документами организации;</w:t>
      </w:r>
    </w:p>
    <w:bookmarkEnd w:id="69"/>
    <w:bookmarkStart w:name="z77" w:id="70"/>
    <w:p>
      <w:pPr>
        <w:spacing w:after="0"/>
        <w:ind w:left="0"/>
        <w:jc w:val="both"/>
      </w:pPr>
      <w:r>
        <w:rPr>
          <w:rFonts w:ascii="Times New Roman"/>
          <w:b w:val="false"/>
          <w:i w:val="false"/>
          <w:color w:val="000000"/>
          <w:sz w:val="28"/>
        </w:rPr>
        <w:t>
      8) информирование уполномоченных органов и должностных лиц организации о выявленных нарушениях правил внутреннего контроля в порядке, предусмотренном внутренними документами организации;</w:t>
      </w:r>
    </w:p>
    <w:bookmarkEnd w:id="70"/>
    <w:bookmarkStart w:name="z78" w:id="71"/>
    <w:p>
      <w:pPr>
        <w:spacing w:after="0"/>
        <w:ind w:left="0"/>
        <w:jc w:val="both"/>
      </w:pPr>
      <w:r>
        <w:rPr>
          <w:rFonts w:ascii="Times New Roman"/>
          <w:b w:val="false"/>
          <w:i w:val="false"/>
          <w:color w:val="000000"/>
          <w:sz w:val="28"/>
        </w:rPr>
        <w:t>
      9)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ПОД/ФТ/ФРОМУ для формирования отчетов уполномоченным органам организации;</w:t>
      </w:r>
    </w:p>
    <w:bookmarkEnd w:id="71"/>
    <w:bookmarkStart w:name="z79" w:id="72"/>
    <w:p>
      <w:pPr>
        <w:spacing w:after="0"/>
        <w:ind w:left="0"/>
        <w:jc w:val="both"/>
      </w:pPr>
      <w:r>
        <w:rPr>
          <w:rFonts w:ascii="Times New Roman"/>
          <w:b w:val="false"/>
          <w:i w:val="false"/>
          <w:color w:val="000000"/>
          <w:sz w:val="28"/>
        </w:rPr>
        <w:t>
      10)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bookmarkEnd w:id="72"/>
    <w:bookmarkStart w:name="z80" w:id="73"/>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ПОД/ФТ/ФРОМУ наделяются следующими полномочиями, включая, но не ограничиваясь:</w:t>
      </w:r>
    </w:p>
    <w:bookmarkEnd w:id="73"/>
    <w:bookmarkStart w:name="z81" w:id="74"/>
    <w:p>
      <w:pPr>
        <w:spacing w:after="0"/>
        <w:ind w:left="0"/>
        <w:jc w:val="both"/>
      </w:pPr>
      <w:r>
        <w:rPr>
          <w:rFonts w:ascii="Times New Roman"/>
          <w:b w:val="false"/>
          <w:i w:val="false"/>
          <w:color w:val="000000"/>
          <w:sz w:val="28"/>
        </w:rPr>
        <w:t>
      1) получение доступа ко всем помещениям организации,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74"/>
    <w:bookmarkStart w:name="z82" w:id="75"/>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75"/>
    <w:bookmarkStart w:name="z83" w:id="76"/>
    <w:p>
      <w:pPr>
        <w:spacing w:after="0"/>
        <w:ind w:left="0"/>
        <w:jc w:val="both"/>
      </w:pPr>
      <w:r>
        <w:rPr>
          <w:rFonts w:ascii="Times New Roman"/>
          <w:b w:val="false"/>
          <w:i w:val="false"/>
          <w:color w:val="000000"/>
          <w:sz w:val="28"/>
        </w:rPr>
        <w:t>
      3) обеспечение сохранности получаемых от подразделений организации документов и файлов.</w:t>
      </w:r>
    </w:p>
    <w:bookmarkEnd w:id="76"/>
    <w:bookmarkStart w:name="z84" w:id="77"/>
    <w:p>
      <w:pPr>
        <w:spacing w:after="0"/>
        <w:ind w:left="0"/>
        <w:jc w:val="both"/>
      </w:pPr>
      <w:r>
        <w:rPr>
          <w:rFonts w:ascii="Times New Roman"/>
          <w:b w:val="false"/>
          <w:i w:val="false"/>
          <w:color w:val="000000"/>
          <w:sz w:val="28"/>
        </w:rPr>
        <w:t>
      10. При наличии в филиалах организации работников, на которых полностью или частично возложены функции и полномочия, предусмотренные пунктами 8 и 9 Требований, координацию деятельности таких работников осуществляет ответственный работник.</w:t>
      </w:r>
    </w:p>
    <w:bookmarkEnd w:id="77"/>
    <w:bookmarkStart w:name="z85" w:id="78"/>
    <w:p>
      <w:pPr>
        <w:spacing w:after="0"/>
        <w:ind w:left="0"/>
        <w:jc w:val="both"/>
      </w:pPr>
      <w:r>
        <w:rPr>
          <w:rFonts w:ascii="Times New Roman"/>
          <w:b w:val="false"/>
          <w:i w:val="false"/>
          <w:color w:val="000000"/>
          <w:sz w:val="28"/>
        </w:rPr>
        <w:t>
      11. Функции ответственного работника, а также работников организации, на которых возложены функции, предусмотренные пунктом 8 Требований, не совмещаются с функциями службы внутреннего аудита либо иного органа, уполномоченного на проведение внутреннего аудита, а также функциями подразделений, осуществляющих операционную (текущую) деятельность организации.</w:t>
      </w:r>
    </w:p>
    <w:bookmarkEnd w:id="78"/>
    <w:bookmarkStart w:name="z86" w:id="79"/>
    <w:p>
      <w:pPr>
        <w:spacing w:after="0"/>
        <w:ind w:left="0"/>
        <w:jc w:val="left"/>
      </w:pPr>
      <w:r>
        <w:rPr>
          <w:rFonts w:ascii="Times New Roman"/>
          <w:b/>
          <w:i w:val="false"/>
          <w:color w:val="000000"/>
        </w:rPr>
        <w:t xml:space="preserve"> Глава 3. Программа управления рисками ОД/ФТ/ФРОМУ, учитывающая риски клиентов и риски использования услуг в преступных целях, включая риск использования технологических достижений</w:t>
      </w:r>
    </w:p>
    <w:bookmarkEnd w:id="79"/>
    <w:bookmarkStart w:name="z87" w:id="80"/>
    <w:p>
      <w:pPr>
        <w:spacing w:after="0"/>
        <w:ind w:left="0"/>
        <w:jc w:val="both"/>
      </w:pPr>
      <w:r>
        <w:rPr>
          <w:rFonts w:ascii="Times New Roman"/>
          <w:b w:val="false"/>
          <w:i w:val="false"/>
          <w:color w:val="000000"/>
          <w:sz w:val="28"/>
        </w:rPr>
        <w:t>
      12. В целях организации управления рисками ОД/ФТ/ФРОМУ организация разрабатывает программу управления рисками (оценки рисков) ОД/ФТ/ФРОМУ.</w:t>
      </w:r>
    </w:p>
    <w:bookmarkEnd w:id="80"/>
    <w:bookmarkStart w:name="z88" w:id="81"/>
    <w:p>
      <w:pPr>
        <w:spacing w:after="0"/>
        <w:ind w:left="0"/>
        <w:jc w:val="both"/>
      </w:pPr>
      <w:r>
        <w:rPr>
          <w:rFonts w:ascii="Times New Roman"/>
          <w:b w:val="false"/>
          <w:i w:val="false"/>
          <w:color w:val="000000"/>
          <w:sz w:val="28"/>
        </w:rPr>
        <w:t>
      Программа управления рисками ОД/ФТ/ФРОМУ включает, но не ограничивается:</w:t>
      </w:r>
    </w:p>
    <w:bookmarkEnd w:id="81"/>
    <w:bookmarkStart w:name="z89" w:id="82"/>
    <w:p>
      <w:pPr>
        <w:spacing w:after="0"/>
        <w:ind w:left="0"/>
        <w:jc w:val="both"/>
      </w:pPr>
      <w:r>
        <w:rPr>
          <w:rFonts w:ascii="Times New Roman"/>
          <w:b w:val="false"/>
          <w:i w:val="false"/>
          <w:color w:val="000000"/>
          <w:sz w:val="28"/>
        </w:rPr>
        <w:t>
      1) порядок организации управления рисками ОД/ФТ/ФРОМУ организации в разрезе его структурных подразделений;</w:t>
      </w:r>
    </w:p>
    <w:bookmarkEnd w:id="82"/>
    <w:bookmarkStart w:name="z90" w:id="83"/>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 уровня риска клиента, а также степени подверженности услуг (продуктов) организации рискам ОД/ФТ/ФРОМУ;</w:t>
      </w:r>
    </w:p>
    <w:bookmarkEnd w:id="83"/>
    <w:bookmarkStart w:name="z91" w:id="84"/>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организации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84"/>
    <w:bookmarkStart w:name="z92" w:id="85"/>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85"/>
    <w:bookmarkStart w:name="z93" w:id="86"/>
    <w:p>
      <w:pPr>
        <w:spacing w:after="0"/>
        <w:ind w:left="0"/>
        <w:jc w:val="both"/>
      </w:pPr>
      <w:r>
        <w:rPr>
          <w:rFonts w:ascii="Times New Roman"/>
          <w:b w:val="false"/>
          <w:i w:val="false"/>
          <w:color w:val="000000"/>
          <w:sz w:val="28"/>
        </w:rPr>
        <w:t>
      13. Организация на ежегодной основе осуществляет оценку степени подверженности услуг (продуктов) организации рискам ОД/ФТ/ФРОМУ с учетом отчета оценки рисков ОД/ФТ/ФРОМУ и,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 (далее – Ежегодная оценка).</w:t>
      </w:r>
    </w:p>
    <w:bookmarkEnd w:id="86"/>
    <w:bookmarkStart w:name="z94" w:id="87"/>
    <w:p>
      <w:pPr>
        <w:spacing w:after="0"/>
        <w:ind w:left="0"/>
        <w:jc w:val="both"/>
      </w:pPr>
      <w:r>
        <w:rPr>
          <w:rFonts w:ascii="Times New Roman"/>
          <w:b w:val="false"/>
          <w:i w:val="false"/>
          <w:color w:val="000000"/>
          <w:sz w:val="28"/>
        </w:rPr>
        <w:t>
      Оценка степени подверженности услуг (продуктов) организации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87"/>
    <w:bookmarkStart w:name="z95" w:id="88"/>
    <w:p>
      <w:pPr>
        <w:spacing w:after="0"/>
        <w:ind w:left="0"/>
        <w:jc w:val="both"/>
      </w:pPr>
      <w:r>
        <w:rPr>
          <w:rFonts w:ascii="Times New Roman"/>
          <w:b w:val="false"/>
          <w:i w:val="false"/>
          <w:color w:val="000000"/>
          <w:sz w:val="28"/>
        </w:rPr>
        <w:t>
      Организация осуществляет оценку риска ОД/ФТ/ФРОМУ в случае наличия подозрений о том, что деловые отношения используются клиентом в рамках противоправной деятельности, а также в отношении клиентов, чей статус и (или) чья деятельность имеет высокий риск ОД/ФТ/ФРОМУ или связана с иной преступной деятельностью.</w:t>
      </w:r>
    </w:p>
    <w:bookmarkEnd w:id="88"/>
    <w:bookmarkStart w:name="z96" w:id="89"/>
    <w:p>
      <w:pPr>
        <w:spacing w:after="0"/>
        <w:ind w:left="0"/>
        <w:jc w:val="both"/>
      </w:pPr>
      <w:r>
        <w:rPr>
          <w:rFonts w:ascii="Times New Roman"/>
          <w:b w:val="false"/>
          <w:i w:val="false"/>
          <w:color w:val="000000"/>
          <w:sz w:val="28"/>
        </w:rPr>
        <w:t>
      Итоги (результаты) Ежегодной оценки документируются в соответствии с внутренними документами и процедурами организации и направляются в уполномоченный орган по финансовому мониторингу и Национальный Банк Республики Казахстан по их письменному запросу.</w:t>
      </w:r>
    </w:p>
    <w:bookmarkEnd w:id="89"/>
    <w:bookmarkStart w:name="z97" w:id="90"/>
    <w:p>
      <w:pPr>
        <w:spacing w:after="0"/>
        <w:ind w:left="0"/>
        <w:jc w:val="both"/>
      </w:pPr>
      <w:r>
        <w:rPr>
          <w:rFonts w:ascii="Times New Roman"/>
          <w:b w:val="false"/>
          <w:i w:val="false"/>
          <w:color w:val="000000"/>
          <w:sz w:val="28"/>
        </w:rPr>
        <w:t>
      14. Типы клиентов, чей статус и (или) чья деятельность подвержены высокому уровню риска ОД/ФТ/ФРОМУ, включают, но не ограничиваются:</w:t>
      </w:r>
    </w:p>
    <w:bookmarkEnd w:id="90"/>
    <w:bookmarkStart w:name="z98" w:id="91"/>
    <w:p>
      <w:pPr>
        <w:spacing w:after="0"/>
        <w:ind w:left="0"/>
        <w:jc w:val="both"/>
      </w:pPr>
      <w:r>
        <w:rPr>
          <w:rFonts w:ascii="Times New Roman"/>
          <w:b w:val="false"/>
          <w:i w:val="false"/>
          <w:color w:val="000000"/>
          <w:sz w:val="28"/>
        </w:rPr>
        <w:t>
      1) иностранцы;</w:t>
      </w:r>
    </w:p>
    <w:bookmarkEnd w:id="91"/>
    <w:bookmarkStart w:name="z99" w:id="92"/>
    <w:p>
      <w:pPr>
        <w:spacing w:after="0"/>
        <w:ind w:left="0"/>
        <w:jc w:val="both"/>
      </w:pPr>
      <w:r>
        <w:rPr>
          <w:rFonts w:ascii="Times New Roman"/>
          <w:b w:val="false"/>
          <w:i w:val="false"/>
          <w:color w:val="000000"/>
          <w:sz w:val="28"/>
        </w:rPr>
        <w:t>
      2) публичные должностные лица, их супруг (супруга) и близкие родственники, а также их представители;</w:t>
      </w:r>
    </w:p>
    <w:bookmarkEnd w:id="92"/>
    <w:bookmarkStart w:name="z100" w:id="93"/>
    <w:p>
      <w:pPr>
        <w:spacing w:after="0"/>
        <w:ind w:left="0"/>
        <w:jc w:val="both"/>
      </w:pPr>
      <w:r>
        <w:rPr>
          <w:rFonts w:ascii="Times New Roman"/>
          <w:b w:val="false"/>
          <w:i w:val="false"/>
          <w:color w:val="000000"/>
          <w:sz w:val="28"/>
        </w:rPr>
        <w:t>
      3)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93"/>
    <w:bookmarkStart w:name="z101" w:id="94"/>
    <w:p>
      <w:pPr>
        <w:spacing w:after="0"/>
        <w:ind w:left="0"/>
        <w:jc w:val="both"/>
      </w:pPr>
      <w:r>
        <w:rPr>
          <w:rFonts w:ascii="Times New Roman"/>
          <w:b w:val="false"/>
          <w:i w:val="false"/>
          <w:color w:val="000000"/>
          <w:sz w:val="28"/>
        </w:rPr>
        <w:t>
      15. Типы контрагентов, чей статус и (или) чья деятельность понижают риск ОД/ФТ/ФРОМУ, включают, но не ограничиваются:</w:t>
      </w:r>
    </w:p>
    <w:bookmarkEnd w:id="94"/>
    <w:bookmarkStart w:name="z102" w:id="95"/>
    <w:p>
      <w:pPr>
        <w:spacing w:after="0"/>
        <w:ind w:left="0"/>
        <w:jc w:val="both"/>
      </w:pPr>
      <w:r>
        <w:rPr>
          <w:rFonts w:ascii="Times New Roman"/>
          <w:b w:val="false"/>
          <w:i w:val="false"/>
          <w:color w:val="000000"/>
          <w:sz w:val="28"/>
        </w:rPr>
        <w:t>
      1) Национальный Банк Республики Казахстан;</w:t>
      </w:r>
    </w:p>
    <w:bookmarkEnd w:id="95"/>
    <w:bookmarkStart w:name="z103" w:id="96"/>
    <w:p>
      <w:pPr>
        <w:spacing w:after="0"/>
        <w:ind w:left="0"/>
        <w:jc w:val="both"/>
      </w:pPr>
      <w:r>
        <w:rPr>
          <w:rFonts w:ascii="Times New Roman"/>
          <w:b w:val="false"/>
          <w:i w:val="false"/>
          <w:color w:val="000000"/>
          <w:sz w:val="28"/>
        </w:rPr>
        <w:t>
      2) банки второго уровня – резиденты Республики Казахстан.</w:t>
      </w:r>
    </w:p>
    <w:bookmarkEnd w:id="96"/>
    <w:bookmarkStart w:name="z104" w:id="97"/>
    <w:p>
      <w:pPr>
        <w:spacing w:after="0"/>
        <w:ind w:left="0"/>
        <w:jc w:val="both"/>
      </w:pPr>
      <w:r>
        <w:rPr>
          <w:rFonts w:ascii="Times New Roman"/>
          <w:b w:val="false"/>
          <w:i w:val="false"/>
          <w:color w:val="000000"/>
          <w:sz w:val="28"/>
        </w:rPr>
        <w:t>
      16. Организация осуществляет оценку странового (географического) риска, связанного с предоставлением услуг (продуктов)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97"/>
    <w:bookmarkStart w:name="z105" w:id="98"/>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98"/>
    <w:bookmarkStart w:name="z106" w:id="99"/>
    <w:p>
      <w:pPr>
        <w:spacing w:after="0"/>
        <w:ind w:left="0"/>
        <w:jc w:val="both"/>
      </w:pPr>
      <w:r>
        <w:rPr>
          <w:rFonts w:ascii="Times New Roman"/>
          <w:b w:val="false"/>
          <w:i w:val="false"/>
          <w:color w:val="000000"/>
          <w:sz w:val="28"/>
        </w:rPr>
        <w:t>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bookmarkEnd w:id="99"/>
    <w:bookmarkStart w:name="z107" w:id="100"/>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ООН;</w:t>
      </w:r>
    </w:p>
    <w:bookmarkEnd w:id="100"/>
    <w:bookmarkStart w:name="z108" w:id="101"/>
    <w:p>
      <w:pPr>
        <w:spacing w:after="0"/>
        <w:ind w:left="0"/>
        <w:jc w:val="both"/>
      </w:pPr>
      <w:r>
        <w:rPr>
          <w:rFonts w:ascii="Times New Roman"/>
          <w:b w:val="false"/>
          <w:i w:val="false"/>
          <w:color w:val="000000"/>
          <w:sz w:val="28"/>
        </w:rPr>
        <w:t>
      3) следующие иностранные государства и (или) части территорий иностранных государств, характеризующихся как оффшорные зоны:</w:t>
      </w:r>
    </w:p>
    <w:bookmarkEnd w:id="101"/>
    <w:bookmarkStart w:name="z109" w:id="102"/>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102"/>
    <w:bookmarkStart w:name="z110" w:id="103"/>
    <w:p>
      <w:pPr>
        <w:spacing w:after="0"/>
        <w:ind w:left="0"/>
        <w:jc w:val="both"/>
      </w:pPr>
      <w:r>
        <w:rPr>
          <w:rFonts w:ascii="Times New Roman"/>
          <w:b w:val="false"/>
          <w:i w:val="false"/>
          <w:color w:val="000000"/>
          <w:sz w:val="28"/>
        </w:rPr>
        <w:t>
      Княжество Андорра;</w:t>
      </w:r>
    </w:p>
    <w:bookmarkEnd w:id="103"/>
    <w:bookmarkStart w:name="z111" w:id="104"/>
    <w:p>
      <w:pPr>
        <w:spacing w:after="0"/>
        <w:ind w:left="0"/>
        <w:jc w:val="both"/>
      </w:pPr>
      <w:r>
        <w:rPr>
          <w:rFonts w:ascii="Times New Roman"/>
          <w:b w:val="false"/>
          <w:i w:val="false"/>
          <w:color w:val="000000"/>
          <w:sz w:val="28"/>
        </w:rPr>
        <w:t>
      Государство Антигуа и Барбуда;</w:t>
      </w:r>
    </w:p>
    <w:bookmarkEnd w:id="104"/>
    <w:bookmarkStart w:name="z112" w:id="105"/>
    <w:p>
      <w:pPr>
        <w:spacing w:after="0"/>
        <w:ind w:left="0"/>
        <w:jc w:val="both"/>
      </w:pPr>
      <w:r>
        <w:rPr>
          <w:rFonts w:ascii="Times New Roman"/>
          <w:b w:val="false"/>
          <w:i w:val="false"/>
          <w:color w:val="000000"/>
          <w:sz w:val="28"/>
        </w:rPr>
        <w:t>
      Содружество Багамских островов;</w:t>
      </w:r>
    </w:p>
    <w:bookmarkEnd w:id="105"/>
    <w:bookmarkStart w:name="z113" w:id="106"/>
    <w:p>
      <w:pPr>
        <w:spacing w:after="0"/>
        <w:ind w:left="0"/>
        <w:jc w:val="both"/>
      </w:pPr>
      <w:r>
        <w:rPr>
          <w:rFonts w:ascii="Times New Roman"/>
          <w:b w:val="false"/>
          <w:i w:val="false"/>
          <w:color w:val="000000"/>
          <w:sz w:val="28"/>
        </w:rPr>
        <w:t>
      Государство Барбадос;</w:t>
      </w:r>
    </w:p>
    <w:bookmarkEnd w:id="106"/>
    <w:bookmarkStart w:name="z114" w:id="107"/>
    <w:p>
      <w:pPr>
        <w:spacing w:after="0"/>
        <w:ind w:left="0"/>
        <w:jc w:val="both"/>
      </w:pPr>
      <w:r>
        <w:rPr>
          <w:rFonts w:ascii="Times New Roman"/>
          <w:b w:val="false"/>
          <w:i w:val="false"/>
          <w:color w:val="000000"/>
          <w:sz w:val="28"/>
        </w:rPr>
        <w:t>
      Королевство Бахрейн;</w:t>
      </w:r>
    </w:p>
    <w:bookmarkEnd w:id="107"/>
    <w:bookmarkStart w:name="z115" w:id="108"/>
    <w:p>
      <w:pPr>
        <w:spacing w:after="0"/>
        <w:ind w:left="0"/>
        <w:jc w:val="both"/>
      </w:pPr>
      <w:r>
        <w:rPr>
          <w:rFonts w:ascii="Times New Roman"/>
          <w:b w:val="false"/>
          <w:i w:val="false"/>
          <w:color w:val="000000"/>
          <w:sz w:val="28"/>
        </w:rPr>
        <w:t>
      Государство Белиз;</w:t>
      </w:r>
    </w:p>
    <w:bookmarkEnd w:id="108"/>
    <w:bookmarkStart w:name="z116" w:id="109"/>
    <w:p>
      <w:pPr>
        <w:spacing w:after="0"/>
        <w:ind w:left="0"/>
        <w:jc w:val="both"/>
      </w:pPr>
      <w:r>
        <w:rPr>
          <w:rFonts w:ascii="Times New Roman"/>
          <w:b w:val="false"/>
          <w:i w:val="false"/>
          <w:color w:val="000000"/>
          <w:sz w:val="28"/>
        </w:rPr>
        <w:t>
      Государство Бруней Даруссалам;</w:t>
      </w:r>
    </w:p>
    <w:bookmarkEnd w:id="109"/>
    <w:bookmarkStart w:name="z117" w:id="110"/>
    <w:p>
      <w:pPr>
        <w:spacing w:after="0"/>
        <w:ind w:left="0"/>
        <w:jc w:val="both"/>
      </w:pPr>
      <w:r>
        <w:rPr>
          <w:rFonts w:ascii="Times New Roman"/>
          <w:b w:val="false"/>
          <w:i w:val="false"/>
          <w:color w:val="000000"/>
          <w:sz w:val="28"/>
        </w:rPr>
        <w:t>
      Объединенная Республика Танзания;</w:t>
      </w:r>
    </w:p>
    <w:bookmarkEnd w:id="110"/>
    <w:bookmarkStart w:name="z118" w:id="111"/>
    <w:p>
      <w:pPr>
        <w:spacing w:after="0"/>
        <w:ind w:left="0"/>
        <w:jc w:val="both"/>
      </w:pPr>
      <w:r>
        <w:rPr>
          <w:rFonts w:ascii="Times New Roman"/>
          <w:b w:val="false"/>
          <w:i w:val="false"/>
          <w:color w:val="000000"/>
          <w:sz w:val="28"/>
        </w:rPr>
        <w:t>
      Республика Вануату;</w:t>
      </w:r>
    </w:p>
    <w:bookmarkEnd w:id="111"/>
    <w:bookmarkStart w:name="z119" w:id="112"/>
    <w:p>
      <w:pPr>
        <w:spacing w:after="0"/>
        <w:ind w:left="0"/>
        <w:jc w:val="both"/>
      </w:pPr>
      <w:r>
        <w:rPr>
          <w:rFonts w:ascii="Times New Roman"/>
          <w:b w:val="false"/>
          <w:i w:val="false"/>
          <w:color w:val="000000"/>
          <w:sz w:val="28"/>
        </w:rPr>
        <w:t>
      Республика Гватемала;</w:t>
      </w:r>
    </w:p>
    <w:bookmarkEnd w:id="112"/>
    <w:bookmarkStart w:name="z120" w:id="113"/>
    <w:p>
      <w:pPr>
        <w:spacing w:after="0"/>
        <w:ind w:left="0"/>
        <w:jc w:val="both"/>
      </w:pPr>
      <w:r>
        <w:rPr>
          <w:rFonts w:ascii="Times New Roman"/>
          <w:b w:val="false"/>
          <w:i w:val="false"/>
          <w:color w:val="000000"/>
          <w:sz w:val="28"/>
        </w:rPr>
        <w:t>
      Государство Гренада;</w:t>
      </w:r>
    </w:p>
    <w:bookmarkEnd w:id="113"/>
    <w:bookmarkStart w:name="z121" w:id="114"/>
    <w:p>
      <w:pPr>
        <w:spacing w:after="0"/>
        <w:ind w:left="0"/>
        <w:jc w:val="both"/>
      </w:pPr>
      <w:r>
        <w:rPr>
          <w:rFonts w:ascii="Times New Roman"/>
          <w:b w:val="false"/>
          <w:i w:val="false"/>
          <w:color w:val="000000"/>
          <w:sz w:val="28"/>
        </w:rPr>
        <w:t>
      Республика Джибути;</w:t>
      </w:r>
    </w:p>
    <w:bookmarkEnd w:id="114"/>
    <w:bookmarkStart w:name="z122" w:id="115"/>
    <w:p>
      <w:pPr>
        <w:spacing w:after="0"/>
        <w:ind w:left="0"/>
        <w:jc w:val="both"/>
      </w:pPr>
      <w:r>
        <w:rPr>
          <w:rFonts w:ascii="Times New Roman"/>
          <w:b w:val="false"/>
          <w:i w:val="false"/>
          <w:color w:val="000000"/>
          <w:sz w:val="28"/>
        </w:rPr>
        <w:t>
      Содружество Доминики;</w:t>
      </w:r>
    </w:p>
    <w:bookmarkEnd w:id="115"/>
    <w:bookmarkStart w:name="z123" w:id="116"/>
    <w:p>
      <w:pPr>
        <w:spacing w:after="0"/>
        <w:ind w:left="0"/>
        <w:jc w:val="both"/>
      </w:pPr>
      <w:r>
        <w:rPr>
          <w:rFonts w:ascii="Times New Roman"/>
          <w:b w:val="false"/>
          <w:i w:val="false"/>
          <w:color w:val="000000"/>
          <w:sz w:val="28"/>
        </w:rPr>
        <w:t>
      Доминиканская Республика;</w:t>
      </w:r>
    </w:p>
    <w:bookmarkEnd w:id="116"/>
    <w:bookmarkStart w:name="z124" w:id="117"/>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117"/>
    <w:bookmarkStart w:name="z125" w:id="118"/>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118"/>
    <w:bookmarkStart w:name="z126" w:id="119"/>
    <w:p>
      <w:pPr>
        <w:spacing w:after="0"/>
        <w:ind w:left="0"/>
        <w:jc w:val="both"/>
      </w:pPr>
      <w:r>
        <w:rPr>
          <w:rFonts w:ascii="Times New Roman"/>
          <w:b w:val="false"/>
          <w:i w:val="false"/>
          <w:color w:val="000000"/>
          <w:sz w:val="28"/>
        </w:rPr>
        <w:t>
      Федеральная Исламская Республика Коморские Острова;</w:t>
      </w:r>
    </w:p>
    <w:bookmarkEnd w:id="119"/>
    <w:bookmarkStart w:name="z127" w:id="120"/>
    <w:p>
      <w:pPr>
        <w:spacing w:after="0"/>
        <w:ind w:left="0"/>
        <w:jc w:val="both"/>
      </w:pPr>
      <w:r>
        <w:rPr>
          <w:rFonts w:ascii="Times New Roman"/>
          <w:b w:val="false"/>
          <w:i w:val="false"/>
          <w:color w:val="000000"/>
          <w:sz w:val="28"/>
        </w:rPr>
        <w:t>
      Кооперативная Республика Гайана;</w:t>
      </w:r>
    </w:p>
    <w:bookmarkEnd w:id="120"/>
    <w:bookmarkStart w:name="z128" w:id="121"/>
    <w:p>
      <w:pPr>
        <w:spacing w:after="0"/>
        <w:ind w:left="0"/>
        <w:jc w:val="both"/>
      </w:pPr>
      <w:r>
        <w:rPr>
          <w:rFonts w:ascii="Times New Roman"/>
          <w:b w:val="false"/>
          <w:i w:val="false"/>
          <w:color w:val="000000"/>
          <w:sz w:val="28"/>
        </w:rPr>
        <w:t>
      Республика Коста-Рика;</w:t>
      </w:r>
    </w:p>
    <w:bookmarkEnd w:id="121"/>
    <w:bookmarkStart w:name="z129" w:id="122"/>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 и Сянган (Гонконг));</w:t>
      </w:r>
    </w:p>
    <w:bookmarkEnd w:id="122"/>
    <w:bookmarkStart w:name="z130" w:id="123"/>
    <w:p>
      <w:pPr>
        <w:spacing w:after="0"/>
        <w:ind w:left="0"/>
        <w:jc w:val="both"/>
      </w:pPr>
      <w:r>
        <w:rPr>
          <w:rFonts w:ascii="Times New Roman"/>
          <w:b w:val="false"/>
          <w:i w:val="false"/>
          <w:color w:val="000000"/>
          <w:sz w:val="28"/>
        </w:rPr>
        <w:t>
      Республика Колумбия;</w:t>
      </w:r>
    </w:p>
    <w:bookmarkEnd w:id="123"/>
    <w:bookmarkStart w:name="z131" w:id="124"/>
    <w:p>
      <w:pPr>
        <w:spacing w:after="0"/>
        <w:ind w:left="0"/>
        <w:jc w:val="both"/>
      </w:pPr>
      <w:r>
        <w:rPr>
          <w:rFonts w:ascii="Times New Roman"/>
          <w:b w:val="false"/>
          <w:i w:val="false"/>
          <w:color w:val="000000"/>
          <w:sz w:val="28"/>
        </w:rPr>
        <w:t>
      Республика Либерия;</w:t>
      </w:r>
    </w:p>
    <w:bookmarkEnd w:id="124"/>
    <w:bookmarkStart w:name="z132" w:id="125"/>
    <w:p>
      <w:pPr>
        <w:spacing w:after="0"/>
        <w:ind w:left="0"/>
        <w:jc w:val="both"/>
      </w:pPr>
      <w:r>
        <w:rPr>
          <w:rFonts w:ascii="Times New Roman"/>
          <w:b w:val="false"/>
          <w:i w:val="false"/>
          <w:color w:val="000000"/>
          <w:sz w:val="28"/>
        </w:rPr>
        <w:t>
      Ливанская Республика;</w:t>
      </w:r>
    </w:p>
    <w:bookmarkEnd w:id="125"/>
    <w:bookmarkStart w:name="z133" w:id="126"/>
    <w:p>
      <w:pPr>
        <w:spacing w:after="0"/>
        <w:ind w:left="0"/>
        <w:jc w:val="both"/>
      </w:pPr>
      <w:r>
        <w:rPr>
          <w:rFonts w:ascii="Times New Roman"/>
          <w:b w:val="false"/>
          <w:i w:val="false"/>
          <w:color w:val="000000"/>
          <w:sz w:val="28"/>
        </w:rPr>
        <w:t>
      Республика Маврикий;</w:t>
      </w:r>
    </w:p>
    <w:bookmarkEnd w:id="126"/>
    <w:bookmarkStart w:name="z134" w:id="127"/>
    <w:p>
      <w:pPr>
        <w:spacing w:after="0"/>
        <w:ind w:left="0"/>
        <w:jc w:val="both"/>
      </w:pPr>
      <w:r>
        <w:rPr>
          <w:rFonts w:ascii="Times New Roman"/>
          <w:b w:val="false"/>
          <w:i w:val="false"/>
          <w:color w:val="000000"/>
          <w:sz w:val="28"/>
        </w:rPr>
        <w:t>
      Исламская Республика Мавритания;</w:t>
      </w:r>
    </w:p>
    <w:bookmarkEnd w:id="127"/>
    <w:bookmarkStart w:name="z135" w:id="128"/>
    <w:p>
      <w:pPr>
        <w:spacing w:after="0"/>
        <w:ind w:left="0"/>
        <w:jc w:val="both"/>
      </w:pPr>
      <w:r>
        <w:rPr>
          <w:rFonts w:ascii="Times New Roman"/>
          <w:b w:val="false"/>
          <w:i w:val="false"/>
          <w:color w:val="000000"/>
          <w:sz w:val="28"/>
        </w:rPr>
        <w:t>
      Малайзия (только в части территории анклава Лабуан);</w:t>
      </w:r>
    </w:p>
    <w:bookmarkEnd w:id="128"/>
    <w:bookmarkStart w:name="z136" w:id="129"/>
    <w:p>
      <w:pPr>
        <w:spacing w:after="0"/>
        <w:ind w:left="0"/>
        <w:jc w:val="both"/>
      </w:pPr>
      <w:r>
        <w:rPr>
          <w:rFonts w:ascii="Times New Roman"/>
          <w:b w:val="false"/>
          <w:i w:val="false"/>
          <w:color w:val="000000"/>
          <w:sz w:val="28"/>
        </w:rPr>
        <w:t>
      Мальдивская Республика;</w:t>
      </w:r>
    </w:p>
    <w:bookmarkEnd w:id="129"/>
    <w:bookmarkStart w:name="z137" w:id="130"/>
    <w:p>
      <w:pPr>
        <w:spacing w:after="0"/>
        <w:ind w:left="0"/>
        <w:jc w:val="both"/>
      </w:pPr>
      <w:r>
        <w:rPr>
          <w:rFonts w:ascii="Times New Roman"/>
          <w:b w:val="false"/>
          <w:i w:val="false"/>
          <w:color w:val="000000"/>
          <w:sz w:val="28"/>
        </w:rPr>
        <w:t>
      Республика Мальта;</w:t>
      </w:r>
    </w:p>
    <w:bookmarkEnd w:id="130"/>
    <w:bookmarkStart w:name="z138" w:id="131"/>
    <w:p>
      <w:pPr>
        <w:spacing w:after="0"/>
        <w:ind w:left="0"/>
        <w:jc w:val="both"/>
      </w:pPr>
      <w:r>
        <w:rPr>
          <w:rFonts w:ascii="Times New Roman"/>
          <w:b w:val="false"/>
          <w:i w:val="false"/>
          <w:color w:val="000000"/>
          <w:sz w:val="28"/>
        </w:rPr>
        <w:t>
      Марианские острова;</w:t>
      </w:r>
    </w:p>
    <w:bookmarkEnd w:id="131"/>
    <w:bookmarkStart w:name="z139" w:id="132"/>
    <w:p>
      <w:pPr>
        <w:spacing w:after="0"/>
        <w:ind w:left="0"/>
        <w:jc w:val="both"/>
      </w:pPr>
      <w:r>
        <w:rPr>
          <w:rFonts w:ascii="Times New Roman"/>
          <w:b w:val="false"/>
          <w:i w:val="false"/>
          <w:color w:val="000000"/>
          <w:sz w:val="28"/>
        </w:rPr>
        <w:t>
      Республика Маршалловы острова;</w:t>
      </w:r>
    </w:p>
    <w:bookmarkEnd w:id="132"/>
    <w:bookmarkStart w:name="z140" w:id="133"/>
    <w:p>
      <w:pPr>
        <w:spacing w:after="0"/>
        <w:ind w:left="0"/>
        <w:jc w:val="both"/>
      </w:pPr>
      <w:r>
        <w:rPr>
          <w:rFonts w:ascii="Times New Roman"/>
          <w:b w:val="false"/>
          <w:i w:val="false"/>
          <w:color w:val="000000"/>
          <w:sz w:val="28"/>
        </w:rPr>
        <w:t>
      Княжество Монако;</w:t>
      </w:r>
    </w:p>
    <w:bookmarkEnd w:id="133"/>
    <w:bookmarkStart w:name="z141" w:id="134"/>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134"/>
    <w:bookmarkStart w:name="z142" w:id="135"/>
    <w:p>
      <w:pPr>
        <w:spacing w:after="0"/>
        <w:ind w:left="0"/>
        <w:jc w:val="both"/>
      </w:pPr>
      <w:r>
        <w:rPr>
          <w:rFonts w:ascii="Times New Roman"/>
          <w:b w:val="false"/>
          <w:i w:val="false"/>
          <w:color w:val="000000"/>
          <w:sz w:val="28"/>
        </w:rPr>
        <w:t>
      Союз Мьянма;</w:t>
      </w:r>
    </w:p>
    <w:bookmarkEnd w:id="135"/>
    <w:bookmarkStart w:name="z143" w:id="136"/>
    <w:p>
      <w:pPr>
        <w:spacing w:after="0"/>
        <w:ind w:left="0"/>
        <w:jc w:val="both"/>
      </w:pPr>
      <w:r>
        <w:rPr>
          <w:rFonts w:ascii="Times New Roman"/>
          <w:b w:val="false"/>
          <w:i w:val="false"/>
          <w:color w:val="000000"/>
          <w:sz w:val="28"/>
        </w:rPr>
        <w:t>
      Республика Науру;</w:t>
      </w:r>
    </w:p>
    <w:bookmarkEnd w:id="136"/>
    <w:bookmarkStart w:name="z144" w:id="137"/>
    <w:p>
      <w:pPr>
        <w:spacing w:after="0"/>
        <w:ind w:left="0"/>
        <w:jc w:val="both"/>
      </w:pPr>
      <w:r>
        <w:rPr>
          <w:rFonts w:ascii="Times New Roman"/>
          <w:b w:val="false"/>
          <w:i w:val="false"/>
          <w:color w:val="000000"/>
          <w:sz w:val="28"/>
        </w:rPr>
        <w:t>
      Федеративная Республика Нигерия;</w:t>
      </w:r>
    </w:p>
    <w:bookmarkEnd w:id="137"/>
    <w:bookmarkStart w:name="z145" w:id="138"/>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138"/>
    <w:bookmarkStart w:name="z146" w:id="139"/>
    <w:p>
      <w:pPr>
        <w:spacing w:after="0"/>
        <w:ind w:left="0"/>
        <w:jc w:val="both"/>
      </w:pPr>
      <w:r>
        <w:rPr>
          <w:rFonts w:ascii="Times New Roman"/>
          <w:b w:val="false"/>
          <w:i w:val="false"/>
          <w:color w:val="000000"/>
          <w:sz w:val="28"/>
        </w:rPr>
        <w:t>
      Республика Палау;</w:t>
      </w:r>
    </w:p>
    <w:bookmarkEnd w:id="139"/>
    <w:bookmarkStart w:name="z147" w:id="140"/>
    <w:p>
      <w:pPr>
        <w:spacing w:after="0"/>
        <w:ind w:left="0"/>
        <w:jc w:val="both"/>
      </w:pPr>
      <w:r>
        <w:rPr>
          <w:rFonts w:ascii="Times New Roman"/>
          <w:b w:val="false"/>
          <w:i w:val="false"/>
          <w:color w:val="000000"/>
          <w:sz w:val="28"/>
        </w:rPr>
        <w:t>
      Республика Панама;</w:t>
      </w:r>
    </w:p>
    <w:bookmarkEnd w:id="140"/>
    <w:bookmarkStart w:name="z148" w:id="141"/>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141"/>
    <w:bookmarkStart w:name="z149" w:id="142"/>
    <w:p>
      <w:pPr>
        <w:spacing w:after="0"/>
        <w:ind w:left="0"/>
        <w:jc w:val="both"/>
      </w:pPr>
      <w:r>
        <w:rPr>
          <w:rFonts w:ascii="Times New Roman"/>
          <w:b w:val="false"/>
          <w:i w:val="false"/>
          <w:color w:val="000000"/>
          <w:sz w:val="28"/>
        </w:rPr>
        <w:t>
      Независимое Государство Самоа;</w:t>
      </w:r>
    </w:p>
    <w:bookmarkEnd w:id="142"/>
    <w:bookmarkStart w:name="z150" w:id="143"/>
    <w:p>
      <w:pPr>
        <w:spacing w:after="0"/>
        <w:ind w:left="0"/>
        <w:jc w:val="both"/>
      </w:pPr>
      <w:r>
        <w:rPr>
          <w:rFonts w:ascii="Times New Roman"/>
          <w:b w:val="false"/>
          <w:i w:val="false"/>
          <w:color w:val="000000"/>
          <w:sz w:val="28"/>
        </w:rPr>
        <w:t>
      Республика Сан-Марино;</w:t>
      </w:r>
    </w:p>
    <w:bookmarkEnd w:id="143"/>
    <w:bookmarkStart w:name="z151" w:id="144"/>
    <w:p>
      <w:pPr>
        <w:spacing w:after="0"/>
        <w:ind w:left="0"/>
        <w:jc w:val="both"/>
      </w:pPr>
      <w:r>
        <w:rPr>
          <w:rFonts w:ascii="Times New Roman"/>
          <w:b w:val="false"/>
          <w:i w:val="false"/>
          <w:color w:val="000000"/>
          <w:sz w:val="28"/>
        </w:rPr>
        <w:t>
      Республика Сейшельские острова;</w:t>
      </w:r>
    </w:p>
    <w:bookmarkEnd w:id="144"/>
    <w:bookmarkStart w:name="z152" w:id="145"/>
    <w:p>
      <w:pPr>
        <w:spacing w:after="0"/>
        <w:ind w:left="0"/>
        <w:jc w:val="both"/>
      </w:pPr>
      <w:r>
        <w:rPr>
          <w:rFonts w:ascii="Times New Roman"/>
          <w:b w:val="false"/>
          <w:i w:val="false"/>
          <w:color w:val="000000"/>
          <w:sz w:val="28"/>
        </w:rPr>
        <w:t>
      Государство Сент-Винсент и Гренадины;</w:t>
      </w:r>
    </w:p>
    <w:bookmarkEnd w:id="145"/>
    <w:bookmarkStart w:name="z153" w:id="146"/>
    <w:p>
      <w:pPr>
        <w:spacing w:after="0"/>
        <w:ind w:left="0"/>
        <w:jc w:val="both"/>
      </w:pPr>
      <w:r>
        <w:rPr>
          <w:rFonts w:ascii="Times New Roman"/>
          <w:b w:val="false"/>
          <w:i w:val="false"/>
          <w:color w:val="000000"/>
          <w:sz w:val="28"/>
        </w:rPr>
        <w:t>
      Федерация Сент-Китс и Невис;</w:t>
      </w:r>
    </w:p>
    <w:bookmarkEnd w:id="146"/>
    <w:bookmarkStart w:name="z154" w:id="147"/>
    <w:p>
      <w:pPr>
        <w:spacing w:after="0"/>
        <w:ind w:left="0"/>
        <w:jc w:val="both"/>
      </w:pPr>
      <w:r>
        <w:rPr>
          <w:rFonts w:ascii="Times New Roman"/>
          <w:b w:val="false"/>
          <w:i w:val="false"/>
          <w:color w:val="000000"/>
          <w:sz w:val="28"/>
        </w:rPr>
        <w:t>
      Государство Сент-Люсия;</w:t>
      </w:r>
    </w:p>
    <w:bookmarkEnd w:id="147"/>
    <w:bookmarkStart w:name="z155" w:id="148"/>
    <w:p>
      <w:pPr>
        <w:spacing w:after="0"/>
        <w:ind w:left="0"/>
        <w:jc w:val="both"/>
      </w:pPr>
      <w:r>
        <w:rPr>
          <w:rFonts w:ascii="Times New Roman"/>
          <w:b w:val="false"/>
          <w:i w:val="false"/>
          <w:color w:val="000000"/>
          <w:sz w:val="28"/>
        </w:rPr>
        <w:t>
      Республика Суринам;</w:t>
      </w:r>
    </w:p>
    <w:bookmarkEnd w:id="148"/>
    <w:bookmarkStart w:name="z156" w:id="149"/>
    <w:p>
      <w:pPr>
        <w:spacing w:after="0"/>
        <w:ind w:left="0"/>
        <w:jc w:val="both"/>
      </w:pPr>
      <w:r>
        <w:rPr>
          <w:rFonts w:ascii="Times New Roman"/>
          <w:b w:val="false"/>
          <w:i w:val="false"/>
          <w:color w:val="000000"/>
          <w:sz w:val="28"/>
        </w:rPr>
        <w:t>
      Королевство Тонга;</w:t>
      </w:r>
    </w:p>
    <w:bookmarkEnd w:id="149"/>
    <w:bookmarkStart w:name="z157" w:id="150"/>
    <w:p>
      <w:pPr>
        <w:spacing w:after="0"/>
        <w:ind w:left="0"/>
        <w:jc w:val="both"/>
      </w:pPr>
      <w:r>
        <w:rPr>
          <w:rFonts w:ascii="Times New Roman"/>
          <w:b w:val="false"/>
          <w:i w:val="false"/>
          <w:color w:val="000000"/>
          <w:sz w:val="28"/>
        </w:rPr>
        <w:t>
      Республика Тринидад и Тобаго;</w:t>
      </w:r>
    </w:p>
    <w:bookmarkEnd w:id="150"/>
    <w:bookmarkStart w:name="z158" w:id="151"/>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Нормандских островов (острова Гернси, Джерси, Сарк, Олдерни), Острова Южная Георгия, Южных Сандвичевых островов, островов Теркс и Кайкос, остров Чагос, остров Мэн);</w:t>
      </w:r>
    </w:p>
    <w:bookmarkEnd w:id="151"/>
    <w:bookmarkStart w:name="z159" w:id="152"/>
    <w:p>
      <w:pPr>
        <w:spacing w:after="0"/>
        <w:ind w:left="0"/>
        <w:jc w:val="both"/>
      </w:pPr>
      <w:r>
        <w:rPr>
          <w:rFonts w:ascii="Times New Roman"/>
          <w:b w:val="false"/>
          <w:i w:val="false"/>
          <w:color w:val="000000"/>
          <w:sz w:val="28"/>
        </w:rPr>
        <w:t>
      Суверенная Демократическая Республика Фиджи;</w:t>
      </w:r>
    </w:p>
    <w:bookmarkEnd w:id="152"/>
    <w:bookmarkStart w:name="z160" w:id="153"/>
    <w:p>
      <w:pPr>
        <w:spacing w:after="0"/>
        <w:ind w:left="0"/>
        <w:jc w:val="both"/>
      </w:pPr>
      <w:r>
        <w:rPr>
          <w:rFonts w:ascii="Times New Roman"/>
          <w:b w:val="false"/>
          <w:i w:val="false"/>
          <w:color w:val="000000"/>
          <w:sz w:val="28"/>
        </w:rPr>
        <w:t>
      Республика Филиппины;</w:t>
      </w:r>
    </w:p>
    <w:bookmarkEnd w:id="153"/>
    <w:bookmarkStart w:name="z161" w:id="154"/>
    <w:p>
      <w:pPr>
        <w:spacing w:after="0"/>
        <w:ind w:left="0"/>
        <w:jc w:val="both"/>
      </w:pPr>
      <w:r>
        <w:rPr>
          <w:rFonts w:ascii="Times New Roman"/>
          <w:b w:val="false"/>
          <w:i w:val="false"/>
          <w:color w:val="000000"/>
          <w:sz w:val="28"/>
        </w:rPr>
        <w:t>
      Французская Республика (только в части территорий Острова Кергелен, Французской Гвианы и Французской Полинезии);</w:t>
      </w:r>
    </w:p>
    <w:bookmarkEnd w:id="154"/>
    <w:bookmarkStart w:name="z162" w:id="155"/>
    <w:p>
      <w:pPr>
        <w:spacing w:after="0"/>
        <w:ind w:left="0"/>
        <w:jc w:val="both"/>
      </w:pPr>
      <w:r>
        <w:rPr>
          <w:rFonts w:ascii="Times New Roman"/>
          <w:b w:val="false"/>
          <w:i w:val="false"/>
          <w:color w:val="000000"/>
          <w:sz w:val="28"/>
        </w:rPr>
        <w:t>
      Республика Черногория;</w:t>
      </w:r>
    </w:p>
    <w:bookmarkEnd w:id="155"/>
    <w:bookmarkStart w:name="z163" w:id="156"/>
    <w:p>
      <w:pPr>
        <w:spacing w:after="0"/>
        <w:ind w:left="0"/>
        <w:jc w:val="both"/>
      </w:pPr>
      <w:r>
        <w:rPr>
          <w:rFonts w:ascii="Times New Roman"/>
          <w:b w:val="false"/>
          <w:i w:val="false"/>
          <w:color w:val="000000"/>
          <w:sz w:val="28"/>
        </w:rPr>
        <w:t>
      Демократическая Республика Шри-Ланка;</w:t>
      </w:r>
    </w:p>
    <w:bookmarkEnd w:id="156"/>
    <w:bookmarkStart w:name="z164" w:id="157"/>
    <w:p>
      <w:pPr>
        <w:spacing w:after="0"/>
        <w:ind w:left="0"/>
        <w:jc w:val="both"/>
      </w:pPr>
      <w:r>
        <w:rPr>
          <w:rFonts w:ascii="Times New Roman"/>
          <w:b w:val="false"/>
          <w:i w:val="false"/>
          <w:color w:val="000000"/>
          <w:sz w:val="28"/>
        </w:rPr>
        <w:t>
      Ямайка;</w:t>
      </w:r>
    </w:p>
    <w:bookmarkEnd w:id="157"/>
    <w:bookmarkStart w:name="z165" w:id="158"/>
    <w:p>
      <w:pPr>
        <w:spacing w:after="0"/>
        <w:ind w:left="0"/>
        <w:jc w:val="both"/>
      </w:pPr>
      <w:r>
        <w:rPr>
          <w:rFonts w:ascii="Times New Roman"/>
          <w:b w:val="false"/>
          <w:i w:val="false"/>
          <w:color w:val="000000"/>
          <w:sz w:val="28"/>
        </w:rPr>
        <w:t>
      4) иностранные государства (территории), определенные организацией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158"/>
    <w:bookmarkStart w:name="z166" w:id="159"/>
    <w:p>
      <w:pPr>
        <w:spacing w:after="0"/>
        <w:ind w:left="0"/>
        <w:jc w:val="both"/>
      </w:pPr>
      <w:r>
        <w:rPr>
          <w:rFonts w:ascii="Times New Roman"/>
          <w:b w:val="false"/>
          <w:i w:val="false"/>
          <w:color w:val="000000"/>
          <w:sz w:val="28"/>
        </w:rPr>
        <w:t>
      17. Услуги (продукты) организации, а также способы их предоставления, подверженные высокому риску ОД/ФТ/ФРОМУ, включают (не ограничиваясь) операции по покупке, продаже, обмену наличной иностранной валюты через обменные пункты на сумму, превышающую 2 000 000 тенге, либо сумму в иностранной валюте, превышающую эквивалент 2 000 000 тенге.</w:t>
      </w:r>
    </w:p>
    <w:bookmarkEnd w:id="159"/>
    <w:bookmarkStart w:name="z167" w:id="160"/>
    <w:p>
      <w:pPr>
        <w:spacing w:after="0"/>
        <w:ind w:left="0"/>
        <w:jc w:val="both"/>
      </w:pPr>
      <w:r>
        <w:rPr>
          <w:rFonts w:ascii="Times New Roman"/>
          <w:b w:val="false"/>
          <w:i w:val="false"/>
          <w:color w:val="000000"/>
          <w:sz w:val="28"/>
        </w:rPr>
        <w:t>
      18. При оценке степени подверженности услуг (продуктов) организации рискам ОД/ФТ/ФРОМУ в соответствии с категориями и факторами рисков, указанными в пунктах 14, 16 и 17 Требований, организацией учитываются дополнительные сведения, влияющие на итоговую степень риска, включая, но не ограничиваясь:</w:t>
      </w:r>
    </w:p>
    <w:bookmarkEnd w:id="160"/>
    <w:bookmarkStart w:name="z168" w:id="161"/>
    <w:p>
      <w:pPr>
        <w:spacing w:after="0"/>
        <w:ind w:left="0"/>
        <w:jc w:val="both"/>
      </w:pPr>
      <w:r>
        <w:rPr>
          <w:rFonts w:ascii="Times New Roman"/>
          <w:b w:val="false"/>
          <w:i w:val="false"/>
          <w:color w:val="000000"/>
          <w:sz w:val="28"/>
        </w:rPr>
        <w:t>
      1) количество направленных организацией в уполномоченный орган по финансовому мониторингу сообщений о подозрительных операциях клиентов;</w:t>
      </w:r>
    </w:p>
    <w:bookmarkEnd w:id="161"/>
    <w:bookmarkStart w:name="z169" w:id="162"/>
    <w:p>
      <w:pPr>
        <w:spacing w:after="0"/>
        <w:ind w:left="0"/>
        <w:jc w:val="both"/>
      </w:pPr>
      <w:r>
        <w:rPr>
          <w:rFonts w:ascii="Times New Roman"/>
          <w:b w:val="false"/>
          <w:i w:val="false"/>
          <w:color w:val="000000"/>
          <w:sz w:val="28"/>
        </w:rPr>
        <w:t>
      2) количество направленных организацией в уполномоченный орган по финансовому мониторингу сообщений о пороговых операциях клиентов с наличными деньгами.</w:t>
      </w:r>
    </w:p>
    <w:bookmarkEnd w:id="162"/>
    <w:bookmarkStart w:name="z170" w:id="163"/>
    <w:p>
      <w:pPr>
        <w:spacing w:after="0"/>
        <w:ind w:left="0"/>
        <w:jc w:val="both"/>
      </w:pPr>
      <w:r>
        <w:rPr>
          <w:rFonts w:ascii="Times New Roman"/>
          <w:b w:val="false"/>
          <w:i w:val="false"/>
          <w:color w:val="000000"/>
          <w:sz w:val="28"/>
        </w:rPr>
        <w:t>
      19. В рамках реализации программы управления рисками (оценки рисков) ОД/ФТ/ФРОМУ организацией принимаются меры по классификации клиентов с учетом категорий и факторов рисков, указанных в пунктах 14, 16 и 17 Требований, а также иных категорий и факторов рисков, устанавливаемых организацией.</w:t>
      </w:r>
    </w:p>
    <w:bookmarkEnd w:id="163"/>
    <w:bookmarkStart w:name="z171" w:id="164"/>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по результатам анализа сведений о клиенте (клиентах), полученных в рамках процедур по идентификации и мониторингу операций клиентов, и оценивается по шкале определения уровня риска, которая не может состоять менее чем из двух уровней.</w:t>
      </w:r>
    </w:p>
    <w:bookmarkEnd w:id="164"/>
    <w:bookmarkStart w:name="z172" w:id="165"/>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по мере обновления сведений о клиенте (группе клиентов).</w:t>
      </w:r>
    </w:p>
    <w:bookmarkEnd w:id="165"/>
    <w:bookmarkStart w:name="z173" w:id="166"/>
    <w:p>
      <w:pPr>
        <w:spacing w:after="0"/>
        <w:ind w:left="0"/>
        <w:jc w:val="both"/>
      </w:pPr>
      <w:r>
        <w:rPr>
          <w:rFonts w:ascii="Times New Roman"/>
          <w:b w:val="false"/>
          <w:i w:val="false"/>
          <w:color w:val="000000"/>
          <w:sz w:val="28"/>
        </w:rPr>
        <w:t>
      20. Организации определяют и оценивают риски ОД/ФТ/ФРОМУ, которые могут возникнуть в связи с:</w:t>
      </w:r>
    </w:p>
    <w:bookmarkEnd w:id="166"/>
    <w:bookmarkStart w:name="z174" w:id="167"/>
    <w:p>
      <w:pPr>
        <w:spacing w:after="0"/>
        <w:ind w:left="0"/>
        <w:jc w:val="both"/>
      </w:pPr>
      <w:r>
        <w:rPr>
          <w:rFonts w:ascii="Times New Roman"/>
          <w:b w:val="false"/>
          <w:i w:val="false"/>
          <w:color w:val="000000"/>
          <w:sz w:val="28"/>
        </w:rPr>
        <w:t xml:space="preserve">
      1) разработкой новых продуктов и новой деловой практикой, включающие новые механизмы передачи информации; </w:t>
      </w:r>
    </w:p>
    <w:bookmarkEnd w:id="167"/>
    <w:bookmarkStart w:name="z175" w:id="168"/>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действующих продуктов;</w:t>
      </w:r>
    </w:p>
    <w:bookmarkEnd w:id="168"/>
    <w:bookmarkStart w:name="z176" w:id="169"/>
    <w:p>
      <w:pPr>
        <w:spacing w:after="0"/>
        <w:ind w:left="0"/>
        <w:jc w:val="both"/>
      </w:pPr>
      <w:r>
        <w:rPr>
          <w:rFonts w:ascii="Times New Roman"/>
          <w:b w:val="false"/>
          <w:i w:val="false"/>
          <w:color w:val="000000"/>
          <w:sz w:val="28"/>
        </w:rPr>
        <w:t>
      3) подозрительной деятельностью клиентов, уровнем риска клиентов и рисков использования услуг (продуктов).</w:t>
      </w:r>
    </w:p>
    <w:bookmarkEnd w:id="169"/>
    <w:bookmarkStart w:name="z177" w:id="170"/>
    <w:p>
      <w:pPr>
        <w:spacing w:after="0"/>
        <w:ind w:left="0"/>
        <w:jc w:val="both"/>
      </w:pPr>
      <w:r>
        <w:rPr>
          <w:rFonts w:ascii="Times New Roman"/>
          <w:b w:val="false"/>
          <w:i w:val="false"/>
          <w:color w:val="000000"/>
          <w:sz w:val="28"/>
        </w:rPr>
        <w:t xml:space="preserve">
      При реализации программы управления рисками ОД/ФТ/ФРОМУ организация на постоянной основе проводит анализ уровня риска клиента и его бизнес-профиля, а также учитывает опубликованную информацию из отчета рисков ОД/ФТ/ФРОМУ в соответствии с пунктом 7 </w:t>
      </w:r>
      <w:r>
        <w:rPr>
          <w:rFonts w:ascii="Times New Roman"/>
          <w:b w:val="false"/>
          <w:i w:val="false"/>
          <w:color w:val="000000"/>
          <w:sz w:val="28"/>
        </w:rPr>
        <w:t>статьи 11-1</w:t>
      </w:r>
      <w:r>
        <w:rPr>
          <w:rFonts w:ascii="Times New Roman"/>
          <w:b w:val="false"/>
          <w:i w:val="false"/>
          <w:color w:val="000000"/>
          <w:sz w:val="28"/>
        </w:rPr>
        <w:t xml:space="preserve"> Закона о ПОД/ФТ/ФРОМУ.</w:t>
      </w:r>
    </w:p>
    <w:bookmarkEnd w:id="170"/>
    <w:bookmarkStart w:name="z178" w:id="171"/>
    <w:p>
      <w:pPr>
        <w:spacing w:after="0"/>
        <w:ind w:left="0"/>
        <w:jc w:val="left"/>
      </w:pPr>
      <w:r>
        <w:rPr>
          <w:rFonts w:ascii="Times New Roman"/>
          <w:b/>
          <w:i w:val="false"/>
          <w:color w:val="000000"/>
        </w:rPr>
        <w:t xml:space="preserve"> Глава 4. Программа идентификации клиентов</w:t>
      </w:r>
    </w:p>
    <w:bookmarkEnd w:id="171"/>
    <w:bookmarkStart w:name="z179" w:id="172"/>
    <w:p>
      <w:pPr>
        <w:spacing w:after="0"/>
        <w:ind w:left="0"/>
        <w:jc w:val="both"/>
      </w:pPr>
      <w:r>
        <w:rPr>
          <w:rFonts w:ascii="Times New Roman"/>
          <w:b w:val="false"/>
          <w:i w:val="false"/>
          <w:color w:val="000000"/>
          <w:sz w:val="28"/>
        </w:rPr>
        <w:t xml:space="preserve">
      21.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организация разрабатывает программу идентификации клиентов (их представителей) и бенефициарных собственников.</w:t>
      </w:r>
    </w:p>
    <w:bookmarkEnd w:id="172"/>
    <w:bookmarkStart w:name="z180" w:id="173"/>
    <w:p>
      <w:pPr>
        <w:spacing w:after="0"/>
        <w:ind w:left="0"/>
        <w:jc w:val="both"/>
      </w:pPr>
      <w:r>
        <w:rPr>
          <w:rFonts w:ascii="Times New Roman"/>
          <w:b w:val="false"/>
          <w:i w:val="false"/>
          <w:color w:val="000000"/>
          <w:sz w:val="28"/>
        </w:rPr>
        <w:t>
      Надлежащая проверка клиента (его представителя), бенефициарного собственника осуществляется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73"/>
    <w:bookmarkStart w:name="z181" w:id="174"/>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bookmarkEnd w:id="174"/>
    <w:bookmarkStart w:name="z182" w:id="175"/>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в соответствии с порядком ведения, определяемым уполномоченным органом по финансовому мониторингу.</w:t>
      </w:r>
    </w:p>
    <w:bookmarkEnd w:id="175"/>
    <w:bookmarkStart w:name="z183" w:id="176"/>
    <w:p>
      <w:pPr>
        <w:spacing w:after="0"/>
        <w:ind w:left="0"/>
        <w:jc w:val="both"/>
      </w:pPr>
      <w:r>
        <w:rPr>
          <w:rFonts w:ascii="Times New Roman"/>
          <w:b w:val="false"/>
          <w:i w:val="false"/>
          <w:color w:val="000000"/>
          <w:sz w:val="28"/>
        </w:rPr>
        <w:t xml:space="preserve">
      В зависимости от уровня риска клиента, степень проводимых организацией мероприятий выражается в упрощенных либо усиленных мерах по надлежащей проверке клиента (его представителя) и бенефициарного собственника, проводимых согласно </w:t>
      </w:r>
      <w:r>
        <w:rPr>
          <w:rFonts w:ascii="Times New Roman"/>
          <w:b w:val="false"/>
          <w:i w:val="false"/>
          <w:color w:val="000000"/>
          <w:sz w:val="28"/>
        </w:rPr>
        <w:t>приложению</w:t>
      </w:r>
      <w:r>
        <w:rPr>
          <w:rFonts w:ascii="Times New Roman"/>
          <w:b w:val="false"/>
          <w:i w:val="false"/>
          <w:color w:val="000000"/>
          <w:sz w:val="28"/>
        </w:rPr>
        <w:t xml:space="preserve"> к Требованиям.</w:t>
      </w:r>
    </w:p>
    <w:bookmarkEnd w:id="176"/>
    <w:bookmarkStart w:name="z184" w:id="177"/>
    <w:p>
      <w:pPr>
        <w:spacing w:after="0"/>
        <w:ind w:left="0"/>
        <w:jc w:val="both"/>
      </w:pPr>
      <w:r>
        <w:rPr>
          <w:rFonts w:ascii="Times New Roman"/>
          <w:b w:val="false"/>
          <w:i w:val="false"/>
          <w:color w:val="000000"/>
          <w:sz w:val="28"/>
        </w:rPr>
        <w:t xml:space="preserve">
      22. С учетом требований пунктов 2 и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177"/>
    <w:bookmarkStart w:name="z185" w:id="178"/>
    <w:p>
      <w:pPr>
        <w:spacing w:after="0"/>
        <w:ind w:left="0"/>
        <w:jc w:val="both"/>
      </w:pPr>
      <w:r>
        <w:rPr>
          <w:rFonts w:ascii="Times New Roman"/>
          <w:b w:val="false"/>
          <w:i w:val="false"/>
          <w:color w:val="000000"/>
          <w:sz w:val="28"/>
        </w:rPr>
        <w:t>
      1) установления деловых отношений с клиентом;</w:t>
      </w:r>
    </w:p>
    <w:bookmarkEnd w:id="178"/>
    <w:bookmarkStart w:name="z186" w:id="179"/>
    <w:p>
      <w:pPr>
        <w:spacing w:after="0"/>
        <w:ind w:left="0"/>
        <w:jc w:val="both"/>
      </w:pPr>
      <w:r>
        <w:rPr>
          <w:rFonts w:ascii="Times New Roman"/>
          <w:b w:val="false"/>
          <w:i w:val="false"/>
          <w:color w:val="000000"/>
          <w:sz w:val="28"/>
        </w:rPr>
        <w:t>
      2) совершения клиентом разовой операции (сделки) на сумму, превышающую 500 000 (пятьсот тысяч) тенге, либо сумму в иностранной валюте, превышающую эквивалент 500 000 (пятьсот тысяч) тенге, в том числе, путем совершения за один календарный день нескольких операций (сделок) в виде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 через обменный пункт;</w:t>
      </w:r>
    </w:p>
    <w:bookmarkEnd w:id="179"/>
    <w:bookmarkStart w:name="z187" w:id="180"/>
    <w:p>
      <w:pPr>
        <w:spacing w:after="0"/>
        <w:ind w:left="0"/>
        <w:jc w:val="both"/>
      </w:pPr>
      <w:r>
        <w:rPr>
          <w:rFonts w:ascii="Times New Roman"/>
          <w:b w:val="false"/>
          <w:i w:val="false"/>
          <w:color w:val="000000"/>
          <w:sz w:val="28"/>
        </w:rPr>
        <w:t>
      3) совершения клиентом пороговой операции (сделки);</w:t>
      </w:r>
    </w:p>
    <w:bookmarkEnd w:id="180"/>
    <w:bookmarkStart w:name="z188" w:id="181"/>
    <w:p>
      <w:pPr>
        <w:spacing w:after="0"/>
        <w:ind w:left="0"/>
        <w:jc w:val="both"/>
      </w:pPr>
      <w:r>
        <w:rPr>
          <w:rFonts w:ascii="Times New Roman"/>
          <w:b w:val="false"/>
          <w:i w:val="false"/>
          <w:color w:val="000000"/>
          <w:sz w:val="28"/>
        </w:rPr>
        <w:t>
      4) выявления подозрительной операции (сделки) клиента;</w:t>
      </w:r>
    </w:p>
    <w:bookmarkEnd w:id="181"/>
    <w:bookmarkStart w:name="z189" w:id="182"/>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физическом и юридическом лицах.</w:t>
      </w:r>
    </w:p>
    <w:bookmarkEnd w:id="182"/>
    <w:bookmarkStart w:name="z190" w:id="183"/>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3) и 4)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183"/>
    <w:bookmarkStart w:name="z191" w:id="184"/>
    <w:p>
      <w:pPr>
        <w:spacing w:after="0"/>
        <w:ind w:left="0"/>
        <w:jc w:val="both"/>
      </w:pPr>
      <w:r>
        <w:rPr>
          <w:rFonts w:ascii="Times New Roman"/>
          <w:b w:val="false"/>
          <w:i w:val="false"/>
          <w:color w:val="000000"/>
          <w:sz w:val="28"/>
        </w:rPr>
        <w:t>
      23. Сведения, полученные в соответствии с пунктом 21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End w:id="184"/>
    <w:bookmarkStart w:name="z192" w:id="185"/>
    <w:p>
      <w:pPr>
        <w:spacing w:after="0"/>
        <w:ind w:left="0"/>
        <w:jc w:val="both"/>
      </w:pPr>
      <w:r>
        <w:rPr>
          <w:rFonts w:ascii="Times New Roman"/>
          <w:b w:val="false"/>
          <w:i w:val="false"/>
          <w:color w:val="000000"/>
          <w:sz w:val="28"/>
        </w:rPr>
        <w:t>
      Организацией ведутся досье по физическим и юридическим лицам, а также по иным группам клиентов в соответствии с внутренними документами организации.</w:t>
      </w:r>
    </w:p>
    <w:bookmarkEnd w:id="185"/>
    <w:bookmarkStart w:name="z193" w:id="186"/>
    <w:p>
      <w:pPr>
        <w:spacing w:after="0"/>
        <w:ind w:left="0"/>
        <w:jc w:val="both"/>
      </w:pPr>
      <w:r>
        <w:rPr>
          <w:rFonts w:ascii="Times New Roman"/>
          <w:b w:val="false"/>
          <w:i w:val="false"/>
          <w:color w:val="000000"/>
          <w:sz w:val="28"/>
        </w:rPr>
        <w:t>
      Документы и сведения об операциях с деньгами и (или) иным имуществом,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организациями не менее пяти лет после совершения операции.</w:t>
      </w:r>
    </w:p>
    <w:bookmarkEnd w:id="186"/>
    <w:bookmarkStart w:name="z194" w:id="187"/>
    <w:p>
      <w:pPr>
        <w:spacing w:after="0"/>
        <w:ind w:left="0"/>
        <w:jc w:val="both"/>
      </w:pPr>
      <w:r>
        <w:rPr>
          <w:rFonts w:ascii="Times New Roman"/>
          <w:b w:val="false"/>
          <w:i w:val="false"/>
          <w:color w:val="000000"/>
          <w:sz w:val="28"/>
        </w:rPr>
        <w:t>
      24. Упрощенная идентификация проводится организацией при:</w:t>
      </w:r>
    </w:p>
    <w:bookmarkEnd w:id="187"/>
    <w:bookmarkStart w:name="z195" w:id="188"/>
    <w:p>
      <w:pPr>
        <w:spacing w:after="0"/>
        <w:ind w:left="0"/>
        <w:jc w:val="both"/>
      </w:pPr>
      <w:r>
        <w:rPr>
          <w:rFonts w:ascii="Times New Roman"/>
          <w:b w:val="false"/>
          <w:i w:val="false"/>
          <w:color w:val="000000"/>
          <w:sz w:val="28"/>
        </w:rPr>
        <w:t>
      1) совершении клиентом-физическим лицом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 через обменный пункт, если сумма такой операции превышает 500 000 (пятьсот тысяч) тенге, либо сумму в иностранной валюте, эквивалентную 500 000 (пятьсот тысяч) тенге;</w:t>
      </w:r>
    </w:p>
    <w:bookmarkEnd w:id="188"/>
    <w:bookmarkStart w:name="z196" w:id="189"/>
    <w:p>
      <w:pPr>
        <w:spacing w:after="0"/>
        <w:ind w:left="0"/>
        <w:jc w:val="both"/>
      </w:pPr>
      <w:r>
        <w:rPr>
          <w:rFonts w:ascii="Times New Roman"/>
          <w:b w:val="false"/>
          <w:i w:val="false"/>
          <w:color w:val="000000"/>
          <w:sz w:val="28"/>
        </w:rPr>
        <w:t>
      2) присвоении клиенту пониженного уровня риска ОД/ФТ/ФРОМУ.</w:t>
      </w:r>
    </w:p>
    <w:bookmarkEnd w:id="189"/>
    <w:bookmarkStart w:name="z197" w:id="190"/>
    <w:p>
      <w:pPr>
        <w:spacing w:after="0"/>
        <w:ind w:left="0"/>
        <w:jc w:val="both"/>
      </w:pPr>
      <w:r>
        <w:rPr>
          <w:rFonts w:ascii="Times New Roman"/>
          <w:b w:val="false"/>
          <w:i w:val="false"/>
          <w:color w:val="000000"/>
          <w:sz w:val="28"/>
        </w:rPr>
        <w:t>
      При наличии подозрения на высокий риск ОД/ФТ/ФРОМУ организацией не применяется упрощенная идентификация.</w:t>
      </w:r>
    </w:p>
    <w:bookmarkEnd w:id="190"/>
    <w:bookmarkStart w:name="z198" w:id="191"/>
    <w:p>
      <w:pPr>
        <w:spacing w:after="0"/>
        <w:ind w:left="0"/>
        <w:jc w:val="both"/>
      </w:pPr>
      <w:r>
        <w:rPr>
          <w:rFonts w:ascii="Times New Roman"/>
          <w:b w:val="false"/>
          <w:i w:val="false"/>
          <w:color w:val="000000"/>
          <w:sz w:val="28"/>
        </w:rPr>
        <w:t>
      25. Усиленная идентификация проводится организацией:</w:t>
      </w:r>
    </w:p>
    <w:bookmarkEnd w:id="191"/>
    <w:bookmarkStart w:name="z199" w:id="192"/>
    <w:p>
      <w:pPr>
        <w:spacing w:after="0"/>
        <w:ind w:left="0"/>
        <w:jc w:val="both"/>
      </w:pPr>
      <w:r>
        <w:rPr>
          <w:rFonts w:ascii="Times New Roman"/>
          <w:b w:val="false"/>
          <w:i w:val="false"/>
          <w:color w:val="000000"/>
          <w:sz w:val="28"/>
        </w:rPr>
        <w:t>
      1) при присвоении клиенту высокого уровня риска;</w:t>
      </w:r>
    </w:p>
    <w:bookmarkEnd w:id="192"/>
    <w:bookmarkStart w:name="z200" w:id="193"/>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усиленная идентификация приведет к его непреднамеренному информированию о направлении сообщения о такой операции в уполномоченный орган по финансовому мониторингу;</w:t>
      </w:r>
    </w:p>
    <w:bookmarkEnd w:id="193"/>
    <w:bookmarkStart w:name="z201" w:id="194"/>
    <w:p>
      <w:pPr>
        <w:spacing w:after="0"/>
        <w:ind w:left="0"/>
        <w:jc w:val="both"/>
      </w:pPr>
      <w:r>
        <w:rPr>
          <w:rFonts w:ascii="Times New Roman"/>
          <w:b w:val="false"/>
          <w:i w:val="false"/>
          <w:color w:val="000000"/>
          <w:sz w:val="28"/>
        </w:rPr>
        <w:t>
      3) при наличии сомнений в достоверности представленных клиентом сведений;</w:t>
      </w:r>
    </w:p>
    <w:bookmarkEnd w:id="194"/>
    <w:bookmarkStart w:name="z202" w:id="195"/>
    <w:p>
      <w:pPr>
        <w:spacing w:after="0"/>
        <w:ind w:left="0"/>
        <w:jc w:val="both"/>
      </w:pPr>
      <w:r>
        <w:rPr>
          <w:rFonts w:ascii="Times New Roman"/>
          <w:b w:val="false"/>
          <w:i w:val="false"/>
          <w:color w:val="000000"/>
          <w:sz w:val="28"/>
        </w:rPr>
        <w:t>
      4) в случаях, установленных внутренними документами организации, в том числе по решению ответственного работника;</w:t>
      </w:r>
    </w:p>
    <w:bookmarkEnd w:id="195"/>
    <w:bookmarkStart w:name="z203" w:id="196"/>
    <w:p>
      <w:pPr>
        <w:spacing w:after="0"/>
        <w:ind w:left="0"/>
        <w:jc w:val="both"/>
      </w:pPr>
      <w:r>
        <w:rPr>
          <w:rFonts w:ascii="Times New Roman"/>
          <w:b w:val="false"/>
          <w:i w:val="false"/>
          <w:color w:val="000000"/>
          <w:sz w:val="28"/>
        </w:rPr>
        <w:t>
      5) при установлении деловых отношений с юридическими лицами, созданными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196"/>
    <w:bookmarkStart w:name="z204" w:id="197"/>
    <w:p>
      <w:pPr>
        <w:spacing w:after="0"/>
        <w:ind w:left="0"/>
        <w:jc w:val="both"/>
      </w:pPr>
      <w:r>
        <w:rPr>
          <w:rFonts w:ascii="Times New Roman"/>
          <w:b w:val="false"/>
          <w:i w:val="false"/>
          <w:color w:val="000000"/>
          <w:sz w:val="28"/>
        </w:rPr>
        <w:t xml:space="preserve">
      26. В процессе идентификации клиента (выявления бенефициарного собственника) организацией проводится проверка на наличие такого клиента (бенефициарного собственника) в перечне организаций и лиц, связанных с финансированием терроризма и экстремизма, получаемом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(далее – Перечень ФТ), перечне организаций и лиц, связанных с финансированием распространения оружия массового уничтожения, получаемом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 (далее – Перечень ФРОМУ).</w:t>
      </w:r>
    </w:p>
    <w:bookmarkEnd w:id="197"/>
    <w:bookmarkStart w:name="z205" w:id="198"/>
    <w:p>
      <w:pPr>
        <w:spacing w:after="0"/>
        <w:ind w:left="0"/>
        <w:jc w:val="both"/>
      </w:pPr>
      <w:r>
        <w:rPr>
          <w:rFonts w:ascii="Times New Roman"/>
          <w:b w:val="false"/>
          <w:i w:val="false"/>
          <w:color w:val="000000"/>
          <w:sz w:val="28"/>
        </w:rPr>
        <w:t>
      В отношении иностранцев, иных лиц, в отношении которых у организации имеются сведения о наличии у них гражданства иностранного государства, а также лиц без гражданства организацией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публичному должностному лицу, его супруге (супругу) и близким родственникам.</w:t>
      </w:r>
    </w:p>
    <w:bookmarkEnd w:id="198"/>
    <w:bookmarkStart w:name="z206" w:id="199"/>
    <w:p>
      <w:pPr>
        <w:spacing w:after="0"/>
        <w:ind w:left="0"/>
        <w:jc w:val="both"/>
      </w:pPr>
      <w:r>
        <w:rPr>
          <w:rFonts w:ascii="Times New Roman"/>
          <w:b w:val="false"/>
          <w:i w:val="false"/>
          <w:color w:val="000000"/>
          <w:sz w:val="28"/>
        </w:rPr>
        <w:t>
      27.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199"/>
    <w:bookmarkStart w:name="z207" w:id="200"/>
    <w:p>
      <w:pPr>
        <w:spacing w:after="0"/>
        <w:ind w:left="0"/>
        <w:jc w:val="both"/>
      </w:pPr>
      <w:r>
        <w:rPr>
          <w:rFonts w:ascii="Times New Roman"/>
          <w:b w:val="false"/>
          <w:i w:val="false"/>
          <w:color w:val="000000"/>
          <w:sz w:val="28"/>
        </w:rPr>
        <w:t>
      28. Программа идентификации клиента (его представителя) и бенефициарного собственника включает, но не ограничивается:</w:t>
      </w:r>
    </w:p>
    <w:bookmarkEnd w:id="200"/>
    <w:bookmarkStart w:name="z208" w:id="201"/>
    <w:p>
      <w:pPr>
        <w:spacing w:after="0"/>
        <w:ind w:left="0"/>
        <w:jc w:val="both"/>
      </w:pPr>
      <w:r>
        <w:rPr>
          <w:rFonts w:ascii="Times New Roman"/>
          <w:b w:val="false"/>
          <w:i w:val="false"/>
          <w:color w:val="000000"/>
          <w:sz w:val="28"/>
        </w:rPr>
        <w:t>
      1) порядок принятия клиентов на обслуживание, включая порядок и основания для отказа в установлении деловых отношений и (или) в проведении операции, а также прекращения деловых отношений;</w:t>
      </w:r>
    </w:p>
    <w:bookmarkEnd w:id="201"/>
    <w:bookmarkStart w:name="z209" w:id="202"/>
    <w:p>
      <w:pPr>
        <w:spacing w:after="0"/>
        <w:ind w:left="0"/>
        <w:jc w:val="both"/>
      </w:pPr>
      <w:r>
        <w:rPr>
          <w:rFonts w:ascii="Times New Roman"/>
          <w:b w:val="false"/>
          <w:i w:val="false"/>
          <w:color w:val="000000"/>
          <w:sz w:val="28"/>
        </w:rPr>
        <w:t xml:space="preserve">
      2) порядок идентификации клиента (его представителя) и бенефициарного собственника,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о ПОД/ФТ/ФРОМУ, в том числе особенности процедур упрощенных и усиленных мер по надлежащей проверке клиента;</w:t>
      </w:r>
    </w:p>
    <w:bookmarkEnd w:id="202"/>
    <w:bookmarkStart w:name="z210" w:id="203"/>
    <w:p>
      <w:pPr>
        <w:spacing w:after="0"/>
        <w:ind w:left="0"/>
        <w:jc w:val="both"/>
      </w:pPr>
      <w:r>
        <w:rPr>
          <w:rFonts w:ascii="Times New Roman"/>
          <w:b w:val="false"/>
          <w:i w:val="false"/>
          <w:color w:val="000000"/>
          <w:sz w:val="28"/>
        </w:rPr>
        <w:t xml:space="preserve">
      3) описание мер, направленных на выявление среди физических лиц, находящихся на обслуживании или принимаемых на обслуживание, публичных должностных лиц, их супругов и близких родственников, и принятие таких клиентов на обслуживание (с письменного разрешения должностных лиц организации в соответствии с подпунктом 3) пункта 1 </w:t>
      </w:r>
      <w:r>
        <w:rPr>
          <w:rFonts w:ascii="Times New Roman"/>
          <w:b w:val="false"/>
          <w:i w:val="false"/>
          <w:color w:val="000000"/>
          <w:sz w:val="28"/>
        </w:rPr>
        <w:t>статьи 8</w:t>
      </w:r>
      <w:r>
        <w:rPr>
          <w:rFonts w:ascii="Times New Roman"/>
          <w:b w:val="false"/>
          <w:i w:val="false"/>
          <w:color w:val="000000"/>
          <w:sz w:val="28"/>
        </w:rPr>
        <w:t xml:space="preserve"> Закона о ПОД/ФТ/ФРОМУ);</w:t>
      </w:r>
    </w:p>
    <w:bookmarkEnd w:id="203"/>
    <w:bookmarkStart w:name="z211" w:id="204"/>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ФТ и Перечне ФРОМУ;</w:t>
      </w:r>
    </w:p>
    <w:bookmarkEnd w:id="204"/>
    <w:bookmarkStart w:name="z212" w:id="205"/>
    <w:p>
      <w:pPr>
        <w:spacing w:after="0"/>
        <w:ind w:left="0"/>
        <w:jc w:val="both"/>
      </w:pPr>
      <w:r>
        <w:rPr>
          <w:rFonts w:ascii="Times New Roman"/>
          <w:b w:val="false"/>
          <w:i w:val="false"/>
          <w:color w:val="000000"/>
          <w:sz w:val="28"/>
        </w:rPr>
        <w:t>
      5) особенности обмена сведениями, полученными в процессе идентификации клиента (его представителя) и бенефициарного собственника, в рамках выполнения требований по ПОД/ФТ/ФРОМУ, установленных юридическим лицом, которое имеет контроль над организацией (при наличии);</w:t>
      </w:r>
    </w:p>
    <w:bookmarkEnd w:id="205"/>
    <w:bookmarkStart w:name="z213" w:id="206"/>
    <w:p>
      <w:pPr>
        <w:spacing w:after="0"/>
        <w:ind w:left="0"/>
        <w:jc w:val="both"/>
      </w:pPr>
      <w:r>
        <w:rPr>
          <w:rFonts w:ascii="Times New Roman"/>
          <w:b w:val="false"/>
          <w:i w:val="false"/>
          <w:color w:val="000000"/>
          <w:sz w:val="28"/>
        </w:rPr>
        <w:t>
      6)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bookmarkEnd w:id="206"/>
    <w:bookmarkStart w:name="z214" w:id="207"/>
    <w:p>
      <w:pPr>
        <w:spacing w:after="0"/>
        <w:ind w:left="0"/>
        <w:jc w:val="both"/>
      </w:pPr>
      <w:r>
        <w:rPr>
          <w:rFonts w:ascii="Times New Roman"/>
          <w:b w:val="false"/>
          <w:i w:val="false"/>
          <w:color w:val="000000"/>
          <w:sz w:val="28"/>
        </w:rPr>
        <w:t>
      7) порядок проверки достоверности сведений о клиенте (его представителе) и бенефициарном собственнике;</w:t>
      </w:r>
    </w:p>
    <w:bookmarkEnd w:id="207"/>
    <w:bookmarkStart w:name="z215" w:id="208"/>
    <w:p>
      <w:pPr>
        <w:spacing w:after="0"/>
        <w:ind w:left="0"/>
        <w:jc w:val="both"/>
      </w:pPr>
      <w:r>
        <w:rPr>
          <w:rFonts w:ascii="Times New Roman"/>
          <w:b w:val="false"/>
          <w:i w:val="false"/>
          <w:color w:val="000000"/>
          <w:sz w:val="28"/>
        </w:rPr>
        <w:t>
      8)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208"/>
    <w:bookmarkStart w:name="z216" w:id="209"/>
    <w:p>
      <w:pPr>
        <w:spacing w:after="0"/>
        <w:ind w:left="0"/>
        <w:jc w:val="both"/>
      </w:pPr>
      <w:r>
        <w:rPr>
          <w:rFonts w:ascii="Times New Roman"/>
          <w:b w:val="false"/>
          <w:i w:val="false"/>
          <w:color w:val="000000"/>
          <w:sz w:val="28"/>
        </w:rPr>
        <w:t>
      9) порядок обеспечения доступа работников организации к информации, полученной при проведении идентификации;</w:t>
      </w:r>
    </w:p>
    <w:bookmarkEnd w:id="209"/>
    <w:bookmarkStart w:name="z217" w:id="210"/>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210"/>
    <w:bookmarkStart w:name="z218" w:id="211"/>
    <w:p>
      <w:pPr>
        <w:spacing w:after="0"/>
        <w:ind w:left="0"/>
        <w:jc w:val="both"/>
      </w:pPr>
      <w:r>
        <w:rPr>
          <w:rFonts w:ascii="Times New Roman"/>
          <w:b w:val="false"/>
          <w:i w:val="false"/>
          <w:color w:val="000000"/>
          <w:sz w:val="28"/>
        </w:rPr>
        <w:t>
      11) процедуру надлежащей проверки клиента (его представителя) и бенефициарного собственника на наличие сведений и информации в информационных системах, обеспечивающих выявление и принятие мер в соответствии с внутренними процедурами организации, в том числе с учетом характеристик, соответствующих типологиям, схемам и способам ОД/ФТ/ФРОМУ уполномоченного органа по финансовому мониторингу, связанных с:</w:t>
      </w:r>
    </w:p>
    <w:bookmarkEnd w:id="211"/>
    <w:bookmarkStart w:name="z219" w:id="212"/>
    <w:p>
      <w:pPr>
        <w:spacing w:after="0"/>
        <w:ind w:left="0"/>
        <w:jc w:val="both"/>
      </w:pPr>
      <w:r>
        <w:rPr>
          <w:rFonts w:ascii="Times New Roman"/>
          <w:b w:val="false"/>
          <w:i w:val="false"/>
          <w:color w:val="000000"/>
          <w:sz w:val="28"/>
        </w:rPr>
        <w:t>
      ОД/ФТ/ФРОМУ;</w:t>
      </w:r>
    </w:p>
    <w:bookmarkEnd w:id="212"/>
    <w:bookmarkStart w:name="z220" w:id="213"/>
    <w:p>
      <w:pPr>
        <w:spacing w:after="0"/>
        <w:ind w:left="0"/>
        <w:jc w:val="both"/>
      </w:pPr>
      <w:r>
        <w:rPr>
          <w:rFonts w:ascii="Times New Roman"/>
          <w:b w:val="false"/>
          <w:i w:val="false"/>
          <w:color w:val="000000"/>
          <w:sz w:val="28"/>
        </w:rPr>
        <w:t>
      незаконным производством, оборотом и (или) транзитом наркотиков;</w:t>
      </w:r>
    </w:p>
    <w:bookmarkEnd w:id="213"/>
    <w:bookmarkStart w:name="z221" w:id="214"/>
    <w:p>
      <w:pPr>
        <w:spacing w:after="0"/>
        <w:ind w:left="0"/>
        <w:jc w:val="both"/>
      </w:pPr>
      <w:r>
        <w:rPr>
          <w:rFonts w:ascii="Times New Roman"/>
          <w:b w:val="false"/>
          <w:i w:val="false"/>
          <w:color w:val="000000"/>
          <w:sz w:val="28"/>
        </w:rPr>
        <w:t>
      организацией деятельности финансовых пирамид;</w:t>
      </w:r>
    </w:p>
    <w:bookmarkEnd w:id="214"/>
    <w:bookmarkStart w:name="z222" w:id="215"/>
    <w:p>
      <w:pPr>
        <w:spacing w:after="0"/>
        <w:ind w:left="0"/>
        <w:jc w:val="both"/>
      </w:pPr>
      <w:r>
        <w:rPr>
          <w:rFonts w:ascii="Times New Roman"/>
          <w:b w:val="false"/>
          <w:i w:val="false"/>
          <w:color w:val="000000"/>
          <w:sz w:val="28"/>
        </w:rPr>
        <w:t>
      мошенничеством;</w:t>
      </w:r>
    </w:p>
    <w:bookmarkEnd w:id="215"/>
    <w:bookmarkStart w:name="z223" w:id="216"/>
    <w:p>
      <w:pPr>
        <w:spacing w:after="0"/>
        <w:ind w:left="0"/>
        <w:jc w:val="both"/>
      </w:pPr>
      <w:r>
        <w:rPr>
          <w:rFonts w:ascii="Times New Roman"/>
          <w:b w:val="false"/>
          <w:i w:val="false"/>
          <w:color w:val="000000"/>
          <w:sz w:val="28"/>
        </w:rPr>
        <w:t>
      коррупцией;</w:t>
      </w:r>
    </w:p>
    <w:bookmarkEnd w:id="216"/>
    <w:bookmarkStart w:name="z224" w:id="217"/>
    <w:p>
      <w:pPr>
        <w:spacing w:after="0"/>
        <w:ind w:left="0"/>
        <w:jc w:val="both"/>
      </w:pPr>
      <w:r>
        <w:rPr>
          <w:rFonts w:ascii="Times New Roman"/>
          <w:b w:val="false"/>
          <w:i w:val="false"/>
          <w:color w:val="000000"/>
          <w:sz w:val="28"/>
        </w:rPr>
        <w:t>
      операциями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217"/>
    <w:bookmarkStart w:name="z225" w:id="218"/>
    <w:p>
      <w:pPr>
        <w:spacing w:after="0"/>
        <w:ind w:left="0"/>
        <w:jc w:val="both"/>
      </w:pPr>
      <w:r>
        <w:rPr>
          <w:rFonts w:ascii="Times New Roman"/>
          <w:b w:val="false"/>
          <w:i w:val="false"/>
          <w:color w:val="000000"/>
          <w:sz w:val="28"/>
        </w:rPr>
        <w:t>
      операциями лиц, резидентов или находящихся в государствах, в отношении которых применяются международные санкции в соответствии с резолюциями Совета Безопасности Организации Объединенных Наций;</w:t>
      </w:r>
    </w:p>
    <w:bookmarkEnd w:id="218"/>
    <w:bookmarkStart w:name="z226" w:id="219"/>
    <w:p>
      <w:pPr>
        <w:spacing w:after="0"/>
        <w:ind w:left="0"/>
        <w:jc w:val="both"/>
      </w:pPr>
      <w:r>
        <w:rPr>
          <w:rFonts w:ascii="Times New Roman"/>
          <w:b w:val="false"/>
          <w:i w:val="false"/>
          <w:color w:val="000000"/>
          <w:sz w:val="28"/>
        </w:rPr>
        <w:t>
      незаконным выводом средств за рубеж, в том числе в офшорные зоны;</w:t>
      </w:r>
    </w:p>
    <w:bookmarkEnd w:id="219"/>
    <w:bookmarkStart w:name="z227" w:id="220"/>
    <w:p>
      <w:pPr>
        <w:spacing w:after="0"/>
        <w:ind w:left="0"/>
        <w:jc w:val="both"/>
      </w:pPr>
      <w:r>
        <w:rPr>
          <w:rFonts w:ascii="Times New Roman"/>
          <w:b w:val="false"/>
          <w:i w:val="false"/>
          <w:color w:val="000000"/>
          <w:sz w:val="28"/>
        </w:rPr>
        <w:t>
      категорией лиц в возрасте от четырнадцати до двадцати пяти лет, при наличии одного либо в совокупности следующих условий:</w:t>
      </w:r>
    </w:p>
    <w:bookmarkEnd w:id="220"/>
    <w:bookmarkStart w:name="z228" w:id="221"/>
    <w:p>
      <w:pPr>
        <w:spacing w:after="0"/>
        <w:ind w:left="0"/>
        <w:jc w:val="both"/>
      </w:pPr>
      <w:r>
        <w:rPr>
          <w:rFonts w:ascii="Times New Roman"/>
          <w:b w:val="false"/>
          <w:i w:val="false"/>
          <w:color w:val="000000"/>
          <w:sz w:val="28"/>
        </w:rPr>
        <w:t>
      совершением операций по покупке, продаже или обмену наличной иностранной валюты и (или) покупки, продажи аффинированного золота в слитках, выпущенных Национальным Банком Республики Казахстан на сумму, превышающую 500 000 (пятьсот тысяч) тенге, либо сумму в иностранной валюте, превышающую эквивалент 500 000 (пятьсот тысяч) тенге;</w:t>
      </w:r>
    </w:p>
    <w:bookmarkEnd w:id="221"/>
    <w:bookmarkStart w:name="z229" w:id="222"/>
    <w:p>
      <w:pPr>
        <w:spacing w:after="0"/>
        <w:ind w:left="0"/>
        <w:jc w:val="both"/>
      </w:pPr>
      <w:r>
        <w:rPr>
          <w:rFonts w:ascii="Times New Roman"/>
          <w:b w:val="false"/>
          <w:i w:val="false"/>
          <w:color w:val="000000"/>
          <w:sz w:val="28"/>
        </w:rPr>
        <w:t>
      осуществлением систематических операций, в том числе, путем совершения за один календарный день нескольких операций (сделок) в виде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w:t>
      </w:r>
    </w:p>
    <w:bookmarkEnd w:id="222"/>
    <w:bookmarkStart w:name="z230" w:id="223"/>
    <w:p>
      <w:pPr>
        <w:spacing w:after="0"/>
        <w:ind w:left="0"/>
        <w:jc w:val="both"/>
      </w:pPr>
      <w:r>
        <w:rPr>
          <w:rFonts w:ascii="Times New Roman"/>
          <w:b w:val="false"/>
          <w:i w:val="false"/>
          <w:color w:val="000000"/>
          <w:sz w:val="28"/>
        </w:rPr>
        <w:t>
      осуществлением подозрительных операций, нехарактерных для указанной категории (группы) клиентов;</w:t>
      </w:r>
    </w:p>
    <w:bookmarkEnd w:id="223"/>
    <w:bookmarkStart w:name="z231" w:id="224"/>
    <w:p>
      <w:pPr>
        <w:spacing w:after="0"/>
        <w:ind w:left="0"/>
        <w:jc w:val="both"/>
      </w:pPr>
      <w:r>
        <w:rPr>
          <w:rFonts w:ascii="Times New Roman"/>
          <w:b w:val="false"/>
          <w:i w:val="false"/>
          <w:color w:val="000000"/>
          <w:sz w:val="28"/>
        </w:rPr>
        <w:t>
      иной преступной деятельностью.</w:t>
      </w:r>
    </w:p>
    <w:bookmarkEnd w:id="224"/>
    <w:bookmarkStart w:name="z232" w:id="225"/>
    <w:p>
      <w:pPr>
        <w:spacing w:after="0"/>
        <w:ind w:left="0"/>
        <w:jc w:val="left"/>
      </w:pPr>
      <w:r>
        <w:rPr>
          <w:rFonts w:ascii="Times New Roman"/>
          <w:b/>
          <w:i w:val="false"/>
          <w:color w:val="000000"/>
        </w:rPr>
        <w:t xml:space="preserve"> Глава 5. Программа мониторинга и изучения операций клиентов, включая изучение сложных, необычно крупных и других необычных операций клиентов</w:t>
      </w:r>
    </w:p>
    <w:bookmarkEnd w:id="225"/>
    <w:bookmarkStart w:name="z233" w:id="226"/>
    <w:p>
      <w:pPr>
        <w:spacing w:after="0"/>
        <w:ind w:left="0"/>
        <w:jc w:val="both"/>
      </w:pPr>
      <w:r>
        <w:rPr>
          <w:rFonts w:ascii="Times New Roman"/>
          <w:b w:val="false"/>
          <w:i w:val="false"/>
          <w:color w:val="000000"/>
          <w:sz w:val="28"/>
        </w:rPr>
        <w:t xml:space="preserve">
      29.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организация разрабатывает программу мониторинга и изучения операций клиентов.</w:t>
      </w:r>
    </w:p>
    <w:bookmarkEnd w:id="226"/>
    <w:bookmarkStart w:name="z234" w:id="227"/>
    <w:p>
      <w:pPr>
        <w:spacing w:after="0"/>
        <w:ind w:left="0"/>
        <w:jc w:val="both"/>
      </w:pPr>
      <w:r>
        <w:rPr>
          <w:rFonts w:ascii="Times New Roman"/>
          <w:b w:val="false"/>
          <w:i w:val="false"/>
          <w:color w:val="000000"/>
          <w:sz w:val="28"/>
        </w:rPr>
        <w:t>
      30. В рамках программы мониторинга и изучения операций клиентов организацией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необычных и подозрительных операций.</w:t>
      </w:r>
    </w:p>
    <w:bookmarkEnd w:id="227"/>
    <w:bookmarkStart w:name="z235" w:id="228"/>
    <w:p>
      <w:pPr>
        <w:spacing w:after="0"/>
        <w:ind w:left="0"/>
        <w:jc w:val="both"/>
      </w:pPr>
      <w:r>
        <w:rPr>
          <w:rFonts w:ascii="Times New Roman"/>
          <w:b w:val="false"/>
          <w:i w:val="false"/>
          <w:color w:val="000000"/>
          <w:sz w:val="28"/>
        </w:rPr>
        <w:t>
      Частота, глубина и интенсивность изучения операций клиента определяется с учетом уровня риска клиента, на основе анализа сведений о размере, значимости, характере, масштабе и сложности деятельности клиента, а также сведений об источнике финансирования совершаемых клиентом операций и (или) степени подверженности услуг, которыми пользуется клиент, рискам ОД/ФТ/ФРОМУ, совершения (попытки совершения) клиентом операций (операции), подлежащих финансовому мониторингу, а также с учетом имеющихся у организации сценариев (схем) ОД/ФТ/ФРОМУ и (или) признаков необычных и подозрительных операций.</w:t>
      </w:r>
    </w:p>
    <w:bookmarkEnd w:id="228"/>
    <w:bookmarkStart w:name="z236" w:id="229"/>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ОД/ФТ/ФРОМУ, а также для пересмотра уровней рисков клиентов.</w:t>
      </w:r>
    </w:p>
    <w:bookmarkEnd w:id="229"/>
    <w:bookmarkStart w:name="z237" w:id="230"/>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22 Требований и (или) хранятся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End w:id="230"/>
    <w:bookmarkStart w:name="z238" w:id="231"/>
    <w:p>
      <w:pPr>
        <w:spacing w:after="0"/>
        <w:ind w:left="0"/>
        <w:jc w:val="both"/>
      </w:pPr>
      <w:r>
        <w:rPr>
          <w:rFonts w:ascii="Times New Roman"/>
          <w:b w:val="false"/>
          <w:i w:val="false"/>
          <w:color w:val="000000"/>
          <w:sz w:val="28"/>
        </w:rPr>
        <w:t>
      31.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организацией с учетом уровня риска клиента (группы клиентов) и (или) степени подверженности услуг организации, которыми пользуется клиент, рискам ОД/ФТ/ФРОМУ.</w:t>
      </w:r>
    </w:p>
    <w:bookmarkEnd w:id="231"/>
    <w:bookmarkStart w:name="z239" w:id="232"/>
    <w:p>
      <w:pPr>
        <w:spacing w:after="0"/>
        <w:ind w:left="0"/>
        <w:jc w:val="both"/>
      </w:pPr>
      <w:r>
        <w:rPr>
          <w:rFonts w:ascii="Times New Roman"/>
          <w:b w:val="false"/>
          <w:i w:val="false"/>
          <w:color w:val="000000"/>
          <w:sz w:val="28"/>
        </w:rPr>
        <w:t>
      В случаях, предусмотренных пунктом 24 Требований, организацией проводится усиленная идентификация клиента.</w:t>
      </w:r>
    </w:p>
    <w:bookmarkEnd w:id="232"/>
    <w:bookmarkStart w:name="z240" w:id="233"/>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233"/>
    <w:bookmarkStart w:name="z241" w:id="234"/>
    <w:p>
      <w:pPr>
        <w:spacing w:after="0"/>
        <w:ind w:left="0"/>
        <w:jc w:val="both"/>
      </w:pPr>
      <w:r>
        <w:rPr>
          <w:rFonts w:ascii="Times New Roman"/>
          <w:b w:val="false"/>
          <w:i w:val="false"/>
          <w:color w:val="000000"/>
          <w:sz w:val="28"/>
        </w:rPr>
        <w:t>
      Проверка наличия клиента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234"/>
    <w:bookmarkStart w:name="z242" w:id="235"/>
    <w:p>
      <w:pPr>
        <w:spacing w:after="0"/>
        <w:ind w:left="0"/>
        <w:jc w:val="both"/>
      </w:pPr>
      <w:r>
        <w:rPr>
          <w:rFonts w:ascii="Times New Roman"/>
          <w:b w:val="false"/>
          <w:i w:val="false"/>
          <w:color w:val="000000"/>
          <w:sz w:val="28"/>
        </w:rPr>
        <w:t>
      32. Программа мониторинга и изучения операций клиентов включает, но не ограничивается:</w:t>
      </w:r>
    </w:p>
    <w:bookmarkEnd w:id="235"/>
    <w:bookmarkStart w:name="z243" w:id="236"/>
    <w:p>
      <w:pPr>
        <w:spacing w:after="0"/>
        <w:ind w:left="0"/>
        <w:jc w:val="both"/>
      </w:pPr>
      <w:r>
        <w:rPr>
          <w:rFonts w:ascii="Times New Roman"/>
          <w:b w:val="false"/>
          <w:i w:val="false"/>
          <w:color w:val="000000"/>
          <w:sz w:val="28"/>
        </w:rPr>
        <w:t xml:space="preserve">
      1) перечень признаков необычных и подозрительных операций, составляемый на основе признаков, определенных уполномоченным органом по финансовому мониторингу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о ПОД/ФТ/ФРОМУ, а также разработанных организацией самостоятельно;</w:t>
      </w:r>
    </w:p>
    <w:bookmarkEnd w:id="236"/>
    <w:bookmarkStart w:name="z244" w:id="237"/>
    <w:p>
      <w:pPr>
        <w:spacing w:after="0"/>
        <w:ind w:left="0"/>
        <w:jc w:val="both"/>
      </w:pPr>
      <w:r>
        <w:rPr>
          <w:rFonts w:ascii="Times New Roman"/>
          <w:b w:val="false"/>
          <w:i w:val="false"/>
          <w:color w:val="000000"/>
          <w:sz w:val="28"/>
        </w:rPr>
        <w:t>
      2) распределение обязанностей между подразделениями (работниками) организации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237"/>
    <w:bookmarkStart w:name="z245" w:id="238"/>
    <w:p>
      <w:pPr>
        <w:spacing w:after="0"/>
        <w:ind w:left="0"/>
        <w:jc w:val="both"/>
      </w:pPr>
      <w:r>
        <w:rPr>
          <w:rFonts w:ascii="Times New Roman"/>
          <w:b w:val="false"/>
          <w:i w:val="false"/>
          <w:color w:val="000000"/>
          <w:sz w:val="28"/>
        </w:rPr>
        <w:t>
      3) распределение обязанностей между подразделениями (работниками) организации по выявлению и передаче между подразделениями (работниками) сведений о пороговых, необычных и подозрительных операциях;</w:t>
      </w:r>
    </w:p>
    <w:bookmarkEnd w:id="238"/>
    <w:bookmarkStart w:name="z246" w:id="239"/>
    <w:p>
      <w:pPr>
        <w:spacing w:after="0"/>
        <w:ind w:left="0"/>
        <w:jc w:val="both"/>
      </w:pPr>
      <w:r>
        <w:rPr>
          <w:rFonts w:ascii="Times New Roman"/>
          <w:b w:val="false"/>
          <w:i w:val="false"/>
          <w:color w:val="000000"/>
          <w:sz w:val="28"/>
        </w:rPr>
        <w:t>
      4) описание механизма взаимодействия подразделений при выявлении пороговых, необычных и подозрительных операций;</w:t>
      </w:r>
    </w:p>
    <w:bookmarkEnd w:id="239"/>
    <w:bookmarkStart w:name="z247" w:id="240"/>
    <w:p>
      <w:pPr>
        <w:spacing w:after="0"/>
        <w:ind w:left="0"/>
        <w:jc w:val="both"/>
      </w:pPr>
      <w:r>
        <w:rPr>
          <w:rFonts w:ascii="Times New Roman"/>
          <w:b w:val="false"/>
          <w:i w:val="false"/>
          <w:color w:val="000000"/>
          <w:sz w:val="28"/>
        </w:rPr>
        <w:t>
      5) порядок, основания и срок принятия ответственным работником решения о квалификации операции клиента;</w:t>
      </w:r>
    </w:p>
    <w:bookmarkEnd w:id="240"/>
    <w:bookmarkStart w:name="z248" w:id="241"/>
    <w:p>
      <w:pPr>
        <w:spacing w:after="0"/>
        <w:ind w:left="0"/>
        <w:jc w:val="both"/>
      </w:pPr>
      <w:r>
        <w:rPr>
          <w:rFonts w:ascii="Times New Roman"/>
          <w:b w:val="false"/>
          <w:i w:val="false"/>
          <w:color w:val="000000"/>
          <w:sz w:val="28"/>
        </w:rPr>
        <w:t>
      6) порядок взаимодействия подразделений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Перечне ФТ и Перечне ФРОМУ), а также о прекращении деловых отношений с клиентом;</w:t>
      </w:r>
    </w:p>
    <w:bookmarkEnd w:id="241"/>
    <w:bookmarkStart w:name="z249" w:id="242"/>
    <w:p>
      <w:pPr>
        <w:spacing w:after="0"/>
        <w:ind w:left="0"/>
        <w:jc w:val="both"/>
      </w:pPr>
      <w:r>
        <w:rPr>
          <w:rFonts w:ascii="Times New Roman"/>
          <w:b w:val="false"/>
          <w:i w:val="false"/>
          <w:color w:val="000000"/>
          <w:sz w:val="28"/>
        </w:rPr>
        <w:t>
      7) порядок взаимодействия подразделений (работников) по выявлению клиентов и бенефициарных собственников, находящихся в Перечне ФТ и Перечне ФРОМУ, а также по отказу в проведении операций, обслуживании таких клиентов либо прекращению деловых отношений с ними;</w:t>
      </w:r>
    </w:p>
    <w:bookmarkEnd w:id="242"/>
    <w:bookmarkStart w:name="z250" w:id="243"/>
    <w:p>
      <w:pPr>
        <w:spacing w:after="0"/>
        <w:ind w:left="0"/>
        <w:jc w:val="both"/>
      </w:pPr>
      <w:r>
        <w:rPr>
          <w:rFonts w:ascii="Times New Roman"/>
          <w:b w:val="false"/>
          <w:i w:val="false"/>
          <w:color w:val="000000"/>
          <w:sz w:val="28"/>
        </w:rPr>
        <w:t>
      8) порядок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сумма операции, валюта операции);</w:t>
      </w:r>
    </w:p>
    <w:bookmarkEnd w:id="243"/>
    <w:bookmarkStart w:name="z251" w:id="244"/>
    <w:p>
      <w:pPr>
        <w:spacing w:after="0"/>
        <w:ind w:left="0"/>
        <w:jc w:val="both"/>
      </w:pPr>
      <w:r>
        <w:rPr>
          <w:rFonts w:ascii="Times New Roman"/>
          <w:b w:val="false"/>
          <w:i w:val="false"/>
          <w:color w:val="000000"/>
          <w:sz w:val="28"/>
        </w:rPr>
        <w:t>
      9) порядок представления в уполномоченный орган по финансовому мониторингу сообщений о пороговых и подозрительных операциях;</w:t>
      </w:r>
    </w:p>
    <w:bookmarkEnd w:id="244"/>
    <w:bookmarkStart w:name="z252" w:id="245"/>
    <w:p>
      <w:pPr>
        <w:spacing w:after="0"/>
        <w:ind w:left="0"/>
        <w:jc w:val="both"/>
      </w:pPr>
      <w:r>
        <w:rPr>
          <w:rFonts w:ascii="Times New Roman"/>
          <w:b w:val="false"/>
          <w:i w:val="false"/>
          <w:color w:val="000000"/>
          <w:sz w:val="28"/>
        </w:rPr>
        <w:t>
      10) порядок информирования (при необходимости) уполномоченных органов и должностных лиц организации о выявлении пороговой и подозрительной операции;</w:t>
      </w:r>
    </w:p>
    <w:bookmarkEnd w:id="245"/>
    <w:bookmarkStart w:name="z253" w:id="246"/>
    <w:p>
      <w:pPr>
        <w:spacing w:after="0"/>
        <w:ind w:left="0"/>
        <w:jc w:val="both"/>
      </w:pPr>
      <w:r>
        <w:rPr>
          <w:rFonts w:ascii="Times New Roman"/>
          <w:b w:val="false"/>
          <w:i w:val="false"/>
          <w:color w:val="000000"/>
          <w:sz w:val="28"/>
        </w:rPr>
        <w:t>
      11) порядок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246"/>
    <w:bookmarkStart w:name="z254" w:id="247"/>
    <w:p>
      <w:pPr>
        <w:spacing w:after="0"/>
        <w:ind w:left="0"/>
        <w:jc w:val="both"/>
      </w:pPr>
      <w:r>
        <w:rPr>
          <w:rFonts w:ascii="Times New Roman"/>
          <w:b w:val="false"/>
          <w:i w:val="false"/>
          <w:color w:val="000000"/>
          <w:sz w:val="28"/>
        </w:rPr>
        <w:t>
      33. При выявлении пороговой, необычной или подозрительной операции, работник организации, выявивший указанную операцию, направляет сообщение о такой операции ответственному работнику (в подразделение по ПОД/ФТ/ФРОМУ) в порядке, в форме и в сроки, установленные внутренними документами организации.</w:t>
      </w:r>
    </w:p>
    <w:bookmarkEnd w:id="247"/>
    <w:bookmarkStart w:name="z255" w:id="248"/>
    <w:p>
      <w:pPr>
        <w:spacing w:after="0"/>
        <w:ind w:left="0"/>
        <w:jc w:val="both"/>
      </w:pPr>
      <w:r>
        <w:rPr>
          <w:rFonts w:ascii="Times New Roman"/>
          <w:b w:val="false"/>
          <w:i w:val="false"/>
          <w:color w:val="000000"/>
          <w:sz w:val="28"/>
        </w:rPr>
        <w:t>
      В одном сообщении допускается информация о нескольких операциях.</w:t>
      </w:r>
    </w:p>
    <w:bookmarkEnd w:id="248"/>
    <w:bookmarkStart w:name="z256" w:id="249"/>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организацией не менее пяти лет со дня прекращения деловых отношений с клиентом либо совершения разовой операции (сделки).</w:t>
      </w:r>
    </w:p>
    <w:bookmarkEnd w:id="249"/>
    <w:bookmarkStart w:name="z257" w:id="250"/>
    <w:p>
      <w:pPr>
        <w:spacing w:after="0"/>
        <w:ind w:left="0"/>
        <w:jc w:val="left"/>
      </w:pPr>
      <w:r>
        <w:rPr>
          <w:rFonts w:ascii="Times New Roman"/>
          <w:b/>
          <w:i w:val="false"/>
          <w:color w:val="000000"/>
        </w:rPr>
        <w:t xml:space="preserve"> Глава 6. Программа подготовки и обучения работников организации по вопросам ПОД/ФТ/ФРОМУ</w:t>
      </w:r>
    </w:p>
    <w:bookmarkEnd w:id="250"/>
    <w:bookmarkStart w:name="z258" w:id="251"/>
    <w:p>
      <w:pPr>
        <w:spacing w:after="0"/>
        <w:ind w:left="0"/>
        <w:jc w:val="both"/>
      </w:pPr>
      <w:r>
        <w:rPr>
          <w:rFonts w:ascii="Times New Roman"/>
          <w:b w:val="false"/>
          <w:i w:val="false"/>
          <w:color w:val="000000"/>
          <w:sz w:val="28"/>
        </w:rPr>
        <w:t xml:space="preserve">
      34. Программа подготовки и обучения работников организации по вопросам ПОД/ФТ/ФРОМУ разрабатывается в соответствии с требованиями по подготовке и обучению работников, утверждаемыми уполномоченным органом по финансовому мониторингу в соответствии с пунктом 8 </w:t>
      </w:r>
      <w:r>
        <w:rPr>
          <w:rFonts w:ascii="Times New Roman"/>
          <w:b w:val="false"/>
          <w:i w:val="false"/>
          <w:color w:val="000000"/>
          <w:sz w:val="28"/>
        </w:rPr>
        <w:t>статьи 11</w:t>
      </w:r>
      <w:r>
        <w:rPr>
          <w:rFonts w:ascii="Times New Roman"/>
          <w:b w:val="false"/>
          <w:i w:val="false"/>
          <w:color w:val="000000"/>
          <w:sz w:val="28"/>
        </w:rPr>
        <w:t xml:space="preserve"> Закона о ПОД/ФТ/ФРОМУ.</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w:t>
            </w:r>
            <w:r>
              <w:br/>
            </w:r>
            <w:r>
              <w:rPr>
                <w:rFonts w:ascii="Times New Roman"/>
                <w:b w:val="false"/>
                <w:i w:val="false"/>
                <w:color w:val="000000"/>
                <w:sz w:val="20"/>
              </w:rPr>
              <w:t>распространения оружия</w:t>
            </w:r>
            <w:r>
              <w:br/>
            </w:r>
            <w:r>
              <w:rPr>
                <w:rFonts w:ascii="Times New Roman"/>
                <w:b w:val="false"/>
                <w:i w:val="false"/>
                <w:color w:val="000000"/>
                <w:sz w:val="20"/>
              </w:rPr>
              <w:t>массового уничтожения для</w:t>
            </w:r>
            <w:r>
              <w:br/>
            </w:r>
            <w:r>
              <w:rPr>
                <w:rFonts w:ascii="Times New Roman"/>
                <w:b w:val="false"/>
                <w:i w:val="false"/>
                <w:color w:val="000000"/>
                <w:sz w:val="20"/>
              </w:rPr>
              <w:t>юридических лиц,</w:t>
            </w:r>
            <w:r>
              <w:br/>
            </w:r>
            <w:r>
              <w:rPr>
                <w:rFonts w:ascii="Times New Roman"/>
                <w:b w:val="false"/>
                <w:i w:val="false"/>
                <w:color w:val="000000"/>
                <w:sz w:val="20"/>
              </w:rPr>
              <w:t>осуществляющих деятельность</w:t>
            </w:r>
            <w:r>
              <w:br/>
            </w:r>
            <w:r>
              <w:rPr>
                <w:rFonts w:ascii="Times New Roman"/>
                <w:b w:val="false"/>
                <w:i w:val="false"/>
                <w:color w:val="000000"/>
                <w:sz w:val="20"/>
              </w:rPr>
              <w:t>исключительно через обменные</w:t>
            </w:r>
            <w:r>
              <w:br/>
            </w:r>
            <w:r>
              <w:rPr>
                <w:rFonts w:ascii="Times New Roman"/>
                <w:b w:val="false"/>
                <w:i w:val="false"/>
                <w:color w:val="000000"/>
                <w:sz w:val="20"/>
              </w:rPr>
              <w:t>пункты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на</w:t>
            </w:r>
            <w:r>
              <w:br/>
            </w:r>
            <w:r>
              <w:rPr>
                <w:rFonts w:ascii="Times New Roman"/>
                <w:b w:val="false"/>
                <w:i w:val="false"/>
                <w:color w:val="000000"/>
                <w:sz w:val="20"/>
              </w:rPr>
              <w:t>обменные операции</w:t>
            </w:r>
            <w:r>
              <w:br/>
            </w:r>
            <w:r>
              <w:rPr>
                <w:rFonts w:ascii="Times New Roman"/>
                <w:b w:val="false"/>
                <w:i w:val="false"/>
                <w:color w:val="000000"/>
                <w:sz w:val="20"/>
              </w:rPr>
              <w:t>с наличной иностранной валютой</w:t>
            </w:r>
          </w:p>
        </w:tc>
      </w:tr>
    </w:tbl>
    <w:bookmarkStart w:name="z260" w:id="252"/>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надлежащей проверке клиента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физическом 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сведения о физическом лице - иностранце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(заграничного паспорта) (за исключением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 (для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публичным должностным лицам или связанным с ними лицам (их супруги, близкие родственники, а также представители)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представителе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бенефициарном собственнике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(лиц), в интересах которого устанавливаются деловые отношения (совершаются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публичным должностным лицам или связанным с ними лицам (их супруги, близкие родственники, а также представители)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об источниках финансирования совершаемых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физического лица, финансирования совершаемых операций (заработная плата, дивиденды, доход от предпринимательской деятельности,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других банках/финансовых организациях (при наличии) (наименование банка/финансовой организации, в которой имеется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Результаты мониторинга операций и служебная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 уполномоченного органа по финансовому мониторингу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организаций и лиц, связанных с финансированием распространения оружия массового уничтожения уполномоченного органа по финансовому мониторингу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 о клиенте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1" w:id="253"/>
    <w:p>
      <w:pPr>
        <w:spacing w:after="0"/>
        <w:ind w:left="0"/>
        <w:jc w:val="both"/>
      </w:pPr>
      <w:r>
        <w:rPr>
          <w:rFonts w:ascii="Times New Roman"/>
          <w:b w:val="false"/>
          <w:i w:val="false"/>
          <w:color w:val="000000"/>
          <w:sz w:val="28"/>
        </w:rPr>
        <w:t>
      Примечание:</w:t>
      </w:r>
    </w:p>
    <w:bookmarkEnd w:id="253"/>
    <w:bookmarkStart w:name="z262" w:id="254"/>
    <w:p>
      <w:pPr>
        <w:spacing w:after="0"/>
        <w:ind w:left="0"/>
        <w:jc w:val="both"/>
      </w:pPr>
      <w:r>
        <w:rPr>
          <w:rFonts w:ascii="Times New Roman"/>
          <w:b w:val="false"/>
          <w:i w:val="false"/>
          <w:color w:val="000000"/>
          <w:sz w:val="28"/>
        </w:rPr>
        <w:t>
      ✓ – необходимость фиксирования соответствующих сведений;</w:t>
      </w:r>
    </w:p>
    <w:bookmarkEnd w:id="254"/>
    <w:bookmarkStart w:name="z263" w:id="255"/>
    <w:p>
      <w:pPr>
        <w:spacing w:after="0"/>
        <w:ind w:left="0"/>
        <w:jc w:val="both"/>
      </w:pPr>
      <w:r>
        <w:rPr>
          <w:rFonts w:ascii="Times New Roman"/>
          <w:b w:val="false"/>
          <w:i w:val="false"/>
          <w:color w:val="000000"/>
          <w:sz w:val="28"/>
        </w:rPr>
        <w:t>
      ✓✓ – необходимость фиксирования соответствующих сведений и проверки их достоверности.</w:t>
      </w:r>
    </w:p>
    <w:bookmarkEnd w:id="255"/>
    <w:bookmarkStart w:name="z264" w:id="256"/>
    <w:p>
      <w:pPr>
        <w:spacing w:after="0"/>
        <w:ind w:left="0"/>
        <w:jc w:val="both"/>
      </w:pPr>
      <w:r>
        <w:rPr>
          <w:rFonts w:ascii="Times New Roman"/>
          <w:b w:val="false"/>
          <w:i w:val="false"/>
          <w:color w:val="000000"/>
          <w:sz w:val="28"/>
        </w:rPr>
        <w:t>
      Требования к содержанию досье клиента:</w:t>
      </w:r>
    </w:p>
    <w:bookmarkEnd w:id="256"/>
    <w:bookmarkStart w:name="z265" w:id="257"/>
    <w:p>
      <w:pPr>
        <w:spacing w:after="0"/>
        <w:ind w:left="0"/>
        <w:jc w:val="both"/>
      </w:pPr>
      <w:r>
        <w:rPr>
          <w:rFonts w:ascii="Times New Roman"/>
          <w:b w:val="false"/>
          <w:i w:val="false"/>
          <w:color w:val="000000"/>
          <w:sz w:val="28"/>
        </w:rPr>
        <w:t>
      1. Перечень документов, удостоверяющих личность, на основании которых совершаются гражданско-правовые сделки для граждан Республики Казахстан, иностранцев и лиц без гражданства определяется в соответствии с требованиями пункта 3 статьи 6 Закона Республики Казахстан "О документах, удостоверяющих личность".</w:t>
      </w:r>
    </w:p>
    <w:bookmarkEnd w:id="257"/>
    <w:bookmarkStart w:name="z266" w:id="258"/>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End w:id="258"/>
    <w:bookmarkStart w:name="z267" w:id="259"/>
    <w:p>
      <w:pPr>
        <w:spacing w:after="0"/>
        <w:ind w:left="0"/>
        <w:jc w:val="both"/>
      </w:pPr>
      <w:r>
        <w:rPr>
          <w:rFonts w:ascii="Times New Roman"/>
          <w:b w:val="false"/>
          <w:i w:val="false"/>
          <w:color w:val="000000"/>
          <w:sz w:val="28"/>
        </w:rPr>
        <w:t>
      3. Сведения о миграционных карточках не требуются в отношении граждан государств, входящих в Евразийский экономический союз.</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