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b0d2" w14:textId="fa1b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пруденциального регулирования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февраля 2022 года № 6. Зарегистрировано в Министерстве юстиции Республики Казахстан 21 февраля 2022 года № 26861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пруденциального регулирования (далее – Перечень),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2022 года, за исключением абзацев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пункта 1, а также пунктов 2 и 3 Перечня, которые вводятся в действие с 1 апреля 2022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14 февраля 2022 года № 6</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пруденциального регулирования,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"29. Фактическая маржа платежеспособности, рассчитанная с учетом статей капитала, определяется по следующей формуле:</w:t>
      </w:r>
    </w:p>
    <w:bookmarkEnd w:id="13"/>
    <w:bookmarkStart w:name="z21" w:id="14"/>
    <w:p>
      <w:pPr>
        <w:spacing w:after="0"/>
        <w:ind w:left="0"/>
        <w:jc w:val="both"/>
      </w:pPr>
      <w:r>
        <w:rPr>
          <w:rFonts w:ascii="Times New Roman"/>
          <w:b w:val="false"/>
          <w:i w:val="false"/>
          <w:color w:val="000000"/>
          <w:sz w:val="28"/>
        </w:rPr>
        <w:t>
      ФМП = УК + НД – НМА – Упл – Уоп – И – СЗ, где:</w:t>
      </w:r>
    </w:p>
    <w:bookmarkEnd w:id="14"/>
    <w:bookmarkStart w:name="z22" w:id="15"/>
    <w:p>
      <w:pPr>
        <w:spacing w:after="0"/>
        <w:ind w:left="0"/>
        <w:jc w:val="both"/>
      </w:pPr>
      <w:r>
        <w:rPr>
          <w:rFonts w:ascii="Times New Roman"/>
          <w:b w:val="false"/>
          <w:i w:val="false"/>
          <w:color w:val="000000"/>
          <w:sz w:val="28"/>
        </w:rPr>
        <w:t>
      ФМП – фактическая маржа платежеспособности, рассчитанная с учетом статей капитала;</w:t>
      </w:r>
    </w:p>
    <w:bookmarkEnd w:id="15"/>
    <w:bookmarkStart w:name="z23" w:id="16"/>
    <w:p>
      <w:pPr>
        <w:spacing w:after="0"/>
        <w:ind w:left="0"/>
        <w:jc w:val="both"/>
      </w:pPr>
      <w:r>
        <w:rPr>
          <w:rFonts w:ascii="Times New Roman"/>
          <w:b w:val="false"/>
          <w:i w:val="false"/>
          <w:color w:val="000000"/>
          <w:sz w:val="28"/>
        </w:rPr>
        <w:t>
      УК – оплаченный уставный капитал за минусом привилегированных акций;</w:t>
      </w:r>
    </w:p>
    <w:bookmarkEnd w:id="16"/>
    <w:bookmarkStart w:name="z24" w:id="17"/>
    <w:p>
      <w:pPr>
        <w:spacing w:after="0"/>
        <w:ind w:left="0"/>
        <w:jc w:val="both"/>
      </w:pPr>
      <w:r>
        <w:rPr>
          <w:rFonts w:ascii="Times New Roman"/>
          <w:b w:val="false"/>
          <w:i w:val="false"/>
          <w:color w:val="000000"/>
          <w:sz w:val="28"/>
        </w:rPr>
        <w:t>
      НД – нераспределенный доход прошлых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bookmarkEnd w:id="17"/>
    <w:bookmarkStart w:name="z25" w:id="18"/>
    <w:p>
      <w:pPr>
        <w:spacing w:after="0"/>
        <w:ind w:left="0"/>
        <w:jc w:val="both"/>
      </w:pPr>
      <w:r>
        <w:rPr>
          <w:rFonts w:ascii="Times New Roman"/>
          <w:b w:val="false"/>
          <w:i w:val="false"/>
          <w:color w:val="000000"/>
          <w:sz w:val="28"/>
        </w:rPr>
        <w:t>
      НМА –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w:t>
      </w:r>
    </w:p>
    <w:bookmarkEnd w:id="18"/>
    <w:bookmarkStart w:name="z26" w:id="19"/>
    <w:p>
      <w:pPr>
        <w:spacing w:after="0"/>
        <w:ind w:left="0"/>
        <w:jc w:val="both"/>
      </w:pPr>
      <w:r>
        <w:rPr>
          <w:rFonts w:ascii="Times New Roman"/>
          <w:b w:val="false"/>
          <w:i w:val="false"/>
          <w:color w:val="000000"/>
          <w:sz w:val="28"/>
        </w:rPr>
        <w:t>
      Упл – непокрытый убыток предыдущих лет;</w:t>
      </w:r>
    </w:p>
    <w:bookmarkEnd w:id="19"/>
    <w:bookmarkStart w:name="z27" w:id="20"/>
    <w:p>
      <w:pPr>
        <w:spacing w:after="0"/>
        <w:ind w:left="0"/>
        <w:jc w:val="both"/>
      </w:pPr>
      <w:r>
        <w:rPr>
          <w:rFonts w:ascii="Times New Roman"/>
          <w:b w:val="false"/>
          <w:i w:val="false"/>
          <w:color w:val="000000"/>
          <w:sz w:val="28"/>
        </w:rPr>
        <w:t>
      Уоп – непокрытый убыток отчетного периода;</w:t>
      </w:r>
    </w:p>
    <w:bookmarkEnd w:id="20"/>
    <w:bookmarkStart w:name="z28" w:id="21"/>
    <w:p>
      <w:pPr>
        <w:spacing w:after="0"/>
        <w:ind w:left="0"/>
        <w:jc w:val="both"/>
      </w:pPr>
      <w:r>
        <w:rPr>
          <w:rFonts w:ascii="Times New Roman"/>
          <w:b w:val="false"/>
          <w:i w:val="false"/>
          <w:color w:val="000000"/>
          <w:sz w:val="28"/>
        </w:rPr>
        <w:t>
      И – инвестиции в уставный капитал других юридических лиц;</w:t>
      </w:r>
    </w:p>
    <w:bookmarkEnd w:id="21"/>
    <w:bookmarkStart w:name="z29" w:id="22"/>
    <w:p>
      <w:pPr>
        <w:spacing w:after="0"/>
        <w:ind w:left="0"/>
        <w:jc w:val="both"/>
      </w:pPr>
      <w:r>
        <w:rPr>
          <w:rFonts w:ascii="Times New Roman"/>
          <w:b w:val="false"/>
          <w:i w:val="false"/>
          <w:color w:val="000000"/>
          <w:sz w:val="28"/>
        </w:rPr>
        <w:t xml:space="preserve">
      СЗ – субординированный заем, предоставленный лицам, которые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являются дочерними организациями страховой (перестраховочной) организации, либо лицам, в которых страховая (перестраховочная) организация имеет значительное участие.".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23"/>
    <w:bookmarkStart w:name="z32" w:id="24"/>
    <w:p>
      <w:pPr>
        <w:spacing w:after="0"/>
        <w:ind w:left="0"/>
        <w:jc w:val="both"/>
      </w:pPr>
      <w:r>
        <w:rPr>
          <w:rFonts w:ascii="Times New Roman"/>
          <w:b w:val="false"/>
          <w:i w:val="false"/>
          <w:color w:val="000000"/>
          <w:sz w:val="28"/>
        </w:rPr>
        <w:t>
      1) деньги:</w:t>
      </w:r>
    </w:p>
    <w:bookmarkEnd w:id="24"/>
    <w:bookmarkStart w:name="z33" w:id="25"/>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25"/>
    <w:bookmarkStart w:name="z34" w:id="26"/>
    <w:p>
      <w:pPr>
        <w:spacing w:after="0"/>
        <w:ind w:left="0"/>
        <w:jc w:val="both"/>
      </w:pPr>
      <w:r>
        <w:rPr>
          <w:rFonts w:ascii="Times New Roman"/>
          <w:b w:val="false"/>
          <w:i w:val="false"/>
          <w:color w:val="000000"/>
          <w:sz w:val="28"/>
        </w:rPr>
        <w:t>
      деньги в пути в банках второго уровня Республики Казахстан, соответствующих требованиям подпункта 5) пункта 38 Нормативов, – в объеме 100 (сто) процентов от балансовой стоимости;</w:t>
      </w:r>
    </w:p>
    <w:bookmarkEnd w:id="26"/>
    <w:bookmarkStart w:name="z35" w:id="27"/>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в соответствии с Таблицей активов страховой (перестраховочной) организации с учетом их классификации по качеству и ликвидности согласно приложению 4 к Нормативам;</w:t>
      </w:r>
    </w:p>
    <w:bookmarkEnd w:id="27"/>
    <w:bookmarkStart w:name="z36" w:id="28"/>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28"/>
    <w:bookmarkStart w:name="z37" w:id="29"/>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29"/>
    <w:bookmarkStart w:name="z38" w:id="30"/>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30"/>
    <w:bookmarkStart w:name="z39" w:id="31"/>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31"/>
    <w:bookmarkStart w:name="z40" w:id="32"/>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32"/>
    <w:bookmarkStart w:name="z41" w:id="33"/>
    <w:p>
      <w:pPr>
        <w:spacing w:after="0"/>
        <w:ind w:left="0"/>
        <w:jc w:val="both"/>
      </w:pPr>
      <w:r>
        <w:rPr>
          <w:rFonts w:ascii="Times New Roman"/>
          <w:b w:val="false"/>
          <w:i w:val="false"/>
          <w:color w:val="000000"/>
          <w:sz w:val="28"/>
        </w:rPr>
        <w:t>
      5) финансовые инструменты, указанные в подпунктах 8), 9), 10), 11), 12), 13), 14), 15), 16), 17), 18), 19), 20), 21), 22), 23), 24), 25), 26), 27) и 29)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33"/>
    <w:bookmarkStart w:name="z42" w:id="34"/>
    <w:p>
      <w:pPr>
        <w:spacing w:after="0"/>
        <w:ind w:left="0"/>
        <w:jc w:val="both"/>
      </w:pPr>
      <w:r>
        <w:rPr>
          <w:rFonts w:ascii="Times New Roman"/>
          <w:b w:val="false"/>
          <w:i w:val="false"/>
          <w:color w:val="000000"/>
          <w:sz w:val="28"/>
        </w:rPr>
        <w:t>
      6)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34"/>
    <w:bookmarkStart w:name="z43" w:id="35"/>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35"/>
    <w:bookmarkStart w:name="z44" w:id="36"/>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w:t>
      </w:r>
    </w:p>
    <w:bookmarkEnd w:id="36"/>
    <w:bookmarkStart w:name="z45" w:id="37"/>
    <w:p>
      <w:pPr>
        <w:spacing w:after="0"/>
        <w:ind w:left="0"/>
        <w:jc w:val="both"/>
      </w:pPr>
      <w:r>
        <w:rPr>
          <w:rFonts w:ascii="Times New Roman"/>
          <w:b w:val="false"/>
          <w:i w:val="false"/>
          <w:color w:val="000000"/>
          <w:sz w:val="28"/>
        </w:rPr>
        <w:t xml:space="preserve">
      8)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настоящего пункта; </w:t>
      </w:r>
    </w:p>
    <w:bookmarkEnd w:id="37"/>
    <w:bookmarkStart w:name="z46" w:id="38"/>
    <w:p>
      <w:pPr>
        <w:spacing w:after="0"/>
        <w:ind w:left="0"/>
        <w:jc w:val="both"/>
      </w:pPr>
      <w:r>
        <w:rPr>
          <w:rFonts w:ascii="Times New Roman"/>
          <w:b w:val="false"/>
          <w:i w:val="false"/>
          <w:color w:val="000000"/>
          <w:sz w:val="28"/>
        </w:rPr>
        <w:t>
      9)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38"/>
    <w:bookmarkStart w:name="z47" w:id="39"/>
    <w:p>
      <w:pPr>
        <w:spacing w:after="0"/>
        <w:ind w:left="0"/>
        <w:jc w:val="both"/>
      </w:pPr>
      <w:r>
        <w:rPr>
          <w:rFonts w:ascii="Times New Roman"/>
          <w:b w:val="false"/>
          <w:i w:val="false"/>
          <w:color w:val="000000"/>
          <w:sz w:val="28"/>
        </w:rPr>
        <w:t>
      10)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39"/>
    <w:bookmarkStart w:name="z48" w:id="40"/>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w:t>
      </w:r>
    </w:p>
    <w:bookmarkEnd w:id="40"/>
    <w:bookmarkStart w:name="z49" w:id="41"/>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(Стандард энд Пурс) или других рейтинговых агентств;</w:t>
      </w:r>
    </w:p>
    <w:bookmarkEnd w:id="41"/>
    <w:bookmarkStart w:name="z50" w:id="42"/>
    <w:p>
      <w:pPr>
        <w:spacing w:after="0"/>
        <w:ind w:left="0"/>
        <w:jc w:val="both"/>
      </w:pPr>
      <w:r>
        <w:rPr>
          <w:rFonts w:ascii="Times New Roman"/>
          <w:b w:val="false"/>
          <w:i w:val="false"/>
          <w:color w:val="000000"/>
          <w:sz w:val="28"/>
        </w:rPr>
        <w:t>
      крупное системообразующее предприятие, соответствующее следующим критериям:</w:t>
      </w:r>
    </w:p>
    <w:bookmarkEnd w:id="42"/>
    <w:bookmarkStart w:name="z51" w:id="43"/>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43"/>
    <w:bookmarkStart w:name="z52" w:id="44"/>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44"/>
    <w:bookmarkStart w:name="z53" w:id="45"/>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45"/>
    <w:bookmarkStart w:name="z54" w:id="46"/>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46"/>
    <w:bookmarkStart w:name="z55" w:id="47"/>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при совершении сделок с финансовыми инструментами (деньги, указанные в абзаце шестом подпункта 1) части первой настоящего пункта):</w:t>
      </w:r>
    </w:p>
    <w:bookmarkEnd w:id="47"/>
    <w:bookmarkStart w:name="z56" w:id="48"/>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48"/>
    <w:bookmarkStart w:name="z57" w:id="49"/>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49"/>
    <w:bookmarkStart w:name="z58" w:id="50"/>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50"/>
    <w:bookmarkStart w:name="z59" w:id="51"/>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51"/>
    <w:bookmarkStart w:name="z60" w:id="52"/>
    <w:p>
      <w:pPr>
        <w:spacing w:after="0"/>
        <w:ind w:left="0"/>
        <w:jc w:val="both"/>
      </w:pPr>
      <w:r>
        <w:rPr>
          <w:rFonts w:ascii="Times New Roman"/>
          <w:b w:val="false"/>
          <w:i w:val="false"/>
          <w:color w:val="000000"/>
          <w:sz w:val="28"/>
        </w:rPr>
        <w:t>
      Если договором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62" w:id="53"/>
    <w:p>
      <w:pPr>
        <w:spacing w:after="0"/>
        <w:ind w:left="0"/>
        <w:jc w:val="both"/>
      </w:pPr>
      <w:r>
        <w:rPr>
          <w:rFonts w:ascii="Times New Roman"/>
          <w:b w:val="false"/>
          <w:i w:val="false"/>
          <w:color w:val="000000"/>
          <w:sz w:val="28"/>
        </w:rPr>
        <w:t>
      "38. В качестве высоколиквидных активов признаются следующие активы страховой (перестраховочной) организации:</w:t>
      </w:r>
    </w:p>
    <w:bookmarkEnd w:id="53"/>
    <w:bookmarkStart w:name="z63" w:id="54"/>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страховой (перестраховочной) организации за минусом активов перестрахования;</w:t>
      </w:r>
    </w:p>
    <w:bookmarkEnd w:id="54"/>
    <w:bookmarkStart w:name="z64" w:id="55"/>
    <w:p>
      <w:pPr>
        <w:spacing w:after="0"/>
        <w:ind w:left="0"/>
        <w:jc w:val="both"/>
      </w:pPr>
      <w:r>
        <w:rPr>
          <w:rFonts w:ascii="Times New Roman"/>
          <w:b w:val="false"/>
          <w:i w:val="false"/>
          <w:color w:val="000000"/>
          <w:sz w:val="28"/>
        </w:rPr>
        <w:t>
      2)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bookmarkEnd w:id="55"/>
    <w:bookmarkStart w:name="z65" w:id="56"/>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bookmarkEnd w:id="56"/>
    <w:bookmarkStart w:name="z66" w:id="57"/>
    <w:p>
      <w:pPr>
        <w:spacing w:after="0"/>
        <w:ind w:left="0"/>
        <w:jc w:val="both"/>
      </w:pPr>
      <w:r>
        <w:rPr>
          <w:rFonts w:ascii="Times New Roman"/>
          <w:b w:val="false"/>
          <w:i w:val="false"/>
          <w:color w:val="000000"/>
          <w:sz w:val="28"/>
        </w:rPr>
        <w:t>
      4)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bookmarkEnd w:id="57"/>
    <w:bookmarkStart w:name="z67" w:id="58"/>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58"/>
    <w:bookmarkStart w:name="z68" w:id="59"/>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59"/>
    <w:bookmarkStart w:name="z69" w:id="60"/>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60"/>
    <w:bookmarkStart w:name="z70" w:id="61"/>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61"/>
    <w:bookmarkStart w:name="z71" w:id="62"/>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62"/>
    <w:bookmarkStart w:name="z72" w:id="63"/>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63"/>
    <w:bookmarkStart w:name="z73" w:id="64"/>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64"/>
    <w:bookmarkStart w:name="z74" w:id="65"/>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65"/>
    <w:bookmarkStart w:name="z75" w:id="66"/>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66"/>
    <w:bookmarkStart w:name="z76" w:id="67"/>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67"/>
    <w:bookmarkStart w:name="z77" w:id="68"/>
    <w:p>
      <w:pPr>
        <w:spacing w:after="0"/>
        <w:ind w:left="0"/>
        <w:jc w:val="both"/>
      </w:pP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68"/>
    <w:bookmarkStart w:name="z78" w:id="69"/>
    <w:p>
      <w:pPr>
        <w:spacing w:after="0"/>
        <w:ind w:left="0"/>
        <w:jc w:val="both"/>
      </w:pPr>
      <w:r>
        <w:rPr>
          <w:rFonts w:ascii="Times New Roman"/>
          <w:b w:val="false"/>
          <w:i w:val="false"/>
          <w:color w:val="000000"/>
          <w:sz w:val="28"/>
        </w:rPr>
        <w:t>
      13)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69"/>
    <w:bookmarkStart w:name="z79" w:id="70"/>
    <w:p>
      <w:pPr>
        <w:spacing w:after="0"/>
        <w:ind w:left="0"/>
        <w:jc w:val="both"/>
      </w:pPr>
      <w:r>
        <w:rPr>
          <w:rFonts w:ascii="Times New Roman"/>
          <w:b w:val="false"/>
          <w:i w:val="false"/>
          <w:color w:val="000000"/>
          <w:sz w:val="28"/>
        </w:rPr>
        <w:t>
      14)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70"/>
    <w:bookmarkStart w:name="z80" w:id="71"/>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bookmarkEnd w:id="71"/>
    <w:bookmarkStart w:name="z81" w:id="72"/>
    <w:p>
      <w:pPr>
        <w:spacing w:after="0"/>
        <w:ind w:left="0"/>
        <w:jc w:val="both"/>
      </w:pPr>
      <w:r>
        <w:rPr>
          <w:rFonts w:ascii="Times New Roman"/>
          <w:b w:val="false"/>
          <w:i w:val="false"/>
          <w:color w:val="000000"/>
          <w:sz w:val="28"/>
        </w:rPr>
        <w:t>
      16) долговые ценные бумаги иностранных государств, имеющих суверенный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w:t>
      </w:r>
    </w:p>
    <w:bookmarkEnd w:id="72"/>
    <w:bookmarkStart w:name="z82" w:id="73"/>
    <w:p>
      <w:pPr>
        <w:spacing w:after="0"/>
        <w:ind w:left="0"/>
        <w:jc w:val="both"/>
      </w:pPr>
      <w:r>
        <w:rPr>
          <w:rFonts w:ascii="Times New Roman"/>
          <w:b w:val="false"/>
          <w:i w:val="false"/>
          <w:color w:val="000000"/>
          <w:sz w:val="28"/>
        </w:rPr>
        <w:t>
      17) негосударственные долговые ценные бумаги иностранных эмитентов, имеющие (эмитент которых имеет) рейтинговую оценку не ниже "В-" по международной шкале агентства Standard &amp; Poor's (Стандард энд Пурс) или рейтинг одного из других рейтинговых агентств;</w:t>
      </w:r>
    </w:p>
    <w:bookmarkEnd w:id="73"/>
    <w:bookmarkStart w:name="z83" w:id="74"/>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74"/>
    <w:bookmarkStart w:name="z84" w:id="75"/>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активом которых являются данные акции;</w:t>
      </w:r>
    </w:p>
    <w:bookmarkEnd w:id="75"/>
    <w:bookmarkStart w:name="z85" w:id="76"/>
    <w:p>
      <w:pPr>
        <w:spacing w:after="0"/>
        <w:ind w:left="0"/>
        <w:jc w:val="both"/>
      </w:pPr>
      <w:r>
        <w:rPr>
          <w:rFonts w:ascii="Times New Roman"/>
          <w:b w:val="false"/>
          <w:i w:val="false"/>
          <w:color w:val="000000"/>
          <w:sz w:val="28"/>
        </w:rPr>
        <w:t>
      20) акции юридических лиц-резидентов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76"/>
    <w:bookmarkStart w:name="z86" w:id="77"/>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77"/>
    <w:bookmarkStart w:name="z87" w:id="78"/>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w:t>
      </w:r>
    </w:p>
    <w:bookmarkEnd w:id="78"/>
    <w:bookmarkStart w:name="z88" w:id="79"/>
    <w:p>
      <w:pPr>
        <w:spacing w:after="0"/>
        <w:ind w:left="0"/>
        <w:jc w:val="both"/>
      </w:pPr>
      <w:r>
        <w:rPr>
          <w:rFonts w:ascii="Times New Roman"/>
          <w:b w:val="false"/>
          <w:i w:val="false"/>
          <w:color w:val="000000"/>
          <w:sz w:val="28"/>
        </w:rPr>
        <w:t>
      23)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79"/>
    <w:bookmarkStart w:name="z89" w:id="80"/>
    <w:p>
      <w:pPr>
        <w:spacing w:after="0"/>
        <w:ind w:left="0"/>
        <w:jc w:val="both"/>
      </w:pPr>
      <w:r>
        <w:rPr>
          <w:rFonts w:ascii="Times New Roman"/>
          <w:b w:val="false"/>
          <w:i w:val="false"/>
          <w:color w:val="000000"/>
          <w:sz w:val="28"/>
        </w:rPr>
        <w:t>
      24)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80"/>
    <w:bookmarkStart w:name="z90" w:id="81"/>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81"/>
    <w:bookmarkStart w:name="z91" w:id="82"/>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82"/>
    <w:bookmarkStart w:name="z92" w:id="83"/>
    <w:p>
      <w:pPr>
        <w:spacing w:after="0"/>
        <w:ind w:left="0"/>
        <w:jc w:val="both"/>
      </w:pPr>
      <w:r>
        <w:rPr>
          <w:rFonts w:ascii="Times New Roman"/>
          <w:b w:val="false"/>
          <w:i w:val="false"/>
          <w:color w:val="000000"/>
          <w:sz w:val="28"/>
        </w:rPr>
        <w:t>
      27) аффинированные драгоценные металлы и металлические счета;</w:t>
      </w:r>
    </w:p>
    <w:bookmarkEnd w:id="83"/>
    <w:bookmarkStart w:name="z93" w:id="84"/>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84"/>
    <w:bookmarkStart w:name="z94" w:id="85"/>
    <w:p>
      <w:pPr>
        <w:spacing w:after="0"/>
        <w:ind w:left="0"/>
        <w:jc w:val="both"/>
      </w:pPr>
      <w:r>
        <w:rPr>
          <w:rFonts w:ascii="Times New Roman"/>
          <w:b w:val="false"/>
          <w:i w:val="false"/>
          <w:color w:val="000000"/>
          <w:sz w:val="28"/>
        </w:rPr>
        <w:t xml:space="preserve">
      29)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8"/>
        </w:rPr>
        <w:t>Предпринимательскому</w:t>
      </w:r>
      <w:r>
        <w:rPr>
          <w:rFonts w:ascii="Times New Roman"/>
          <w:b w:val="false"/>
          <w:i w:val="false"/>
          <w:color w:val="000000"/>
          <w:sz w:val="28"/>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bookmarkEnd w:id="85"/>
    <w:bookmarkStart w:name="z95" w:id="86"/>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86"/>
    <w:bookmarkStart w:name="z96" w:id="87"/>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87"/>
    <w:bookmarkStart w:name="z97" w:id="88"/>
    <w:p>
      <w:pPr>
        <w:spacing w:after="0"/>
        <w:ind w:left="0"/>
        <w:jc w:val="both"/>
      </w:pPr>
      <w:r>
        <w:rPr>
          <w:rFonts w:ascii="Times New Roman"/>
          <w:b w:val="false"/>
          <w:i w:val="false"/>
          <w:color w:val="000000"/>
          <w:sz w:val="28"/>
        </w:rPr>
        <w:t>
      DAX (Deutscher Aktienindex) (Дойтче Акциениндекс);</w:t>
      </w:r>
    </w:p>
    <w:bookmarkEnd w:id="88"/>
    <w:bookmarkStart w:name="z98" w:id="89"/>
    <w:p>
      <w:pPr>
        <w:spacing w:after="0"/>
        <w:ind w:left="0"/>
        <w:jc w:val="both"/>
      </w:pPr>
      <w:r>
        <w:rPr>
          <w:rFonts w:ascii="Times New Roman"/>
          <w:b w:val="false"/>
          <w:i w:val="false"/>
          <w:color w:val="000000"/>
          <w:sz w:val="28"/>
        </w:rPr>
        <w:t>
      DJIA (Dow Jones Industrial Average) (Доу Джонс Индастриал Эвередж);</w:t>
      </w:r>
    </w:p>
    <w:bookmarkEnd w:id="89"/>
    <w:bookmarkStart w:name="z99" w:id="90"/>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90"/>
    <w:bookmarkStart w:name="z100" w:id="91"/>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91"/>
    <w:bookmarkStart w:name="z101" w:id="92"/>
    <w:p>
      <w:pPr>
        <w:spacing w:after="0"/>
        <w:ind w:left="0"/>
        <w:jc w:val="both"/>
      </w:pPr>
      <w:r>
        <w:rPr>
          <w:rFonts w:ascii="Times New Roman"/>
          <w:b w:val="false"/>
          <w:i w:val="false"/>
          <w:color w:val="000000"/>
          <w:sz w:val="28"/>
        </w:rPr>
        <w:t>
      HSI (Hang Seng Index) (Ханг Сенг Индекс);</w:t>
      </w:r>
    </w:p>
    <w:bookmarkEnd w:id="92"/>
    <w:bookmarkStart w:name="z102" w:id="93"/>
    <w:p>
      <w:pPr>
        <w:spacing w:after="0"/>
        <w:ind w:left="0"/>
        <w:jc w:val="both"/>
      </w:pPr>
      <w:r>
        <w:rPr>
          <w:rFonts w:ascii="Times New Roman"/>
          <w:b w:val="false"/>
          <w:i w:val="false"/>
          <w:color w:val="000000"/>
          <w:sz w:val="28"/>
        </w:rPr>
        <w:t>
      KASE (Kazakhstan Stock Exchange Index) (Казакстан Сток Эксчейндж Индекс);</w:t>
      </w:r>
    </w:p>
    <w:bookmarkEnd w:id="93"/>
    <w:bookmarkStart w:name="z103" w:id="94"/>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94"/>
    <w:bookmarkStart w:name="z104" w:id="95"/>
    <w:p>
      <w:pPr>
        <w:spacing w:after="0"/>
        <w:ind w:left="0"/>
        <w:jc w:val="both"/>
      </w:pPr>
      <w:r>
        <w:rPr>
          <w:rFonts w:ascii="Times New Roman"/>
          <w:b w:val="false"/>
          <w:i w:val="false"/>
          <w:color w:val="000000"/>
          <w:sz w:val="28"/>
        </w:rPr>
        <w:t>
      MOEX Russia (Moscow Exchange Russia Index) (Москоу Эксчейндж Раша Индекс);</w:t>
      </w:r>
    </w:p>
    <w:bookmarkEnd w:id="95"/>
    <w:bookmarkStart w:name="z105" w:id="96"/>
    <w:p>
      <w:pPr>
        <w:spacing w:after="0"/>
        <w:ind w:left="0"/>
        <w:jc w:val="both"/>
      </w:pPr>
      <w:r>
        <w:rPr>
          <w:rFonts w:ascii="Times New Roman"/>
          <w:b w:val="false"/>
          <w:i w:val="false"/>
          <w:color w:val="000000"/>
          <w:sz w:val="28"/>
        </w:rPr>
        <w:t>
      NIKKEI 225 (Nikkei-225 Stock Average Index) (Никкэй-225 Сток Эвередж Индекс);</w:t>
      </w:r>
    </w:p>
    <w:bookmarkEnd w:id="96"/>
    <w:bookmarkStart w:name="z106" w:id="97"/>
    <w:p>
      <w:pPr>
        <w:spacing w:after="0"/>
        <w:ind w:left="0"/>
        <w:jc w:val="both"/>
      </w:pPr>
      <w:r>
        <w:rPr>
          <w:rFonts w:ascii="Times New Roman"/>
          <w:b w:val="false"/>
          <w:i w:val="false"/>
          <w:color w:val="000000"/>
          <w:sz w:val="28"/>
        </w:rPr>
        <w:t>
      S&amp;P 500 (Standard and Poor's 500 Index) (Стандард энд Пурс 500 Индекс);</w:t>
      </w:r>
    </w:p>
    <w:bookmarkEnd w:id="97"/>
    <w:bookmarkStart w:name="z107" w:id="98"/>
    <w:p>
      <w:pPr>
        <w:spacing w:after="0"/>
        <w:ind w:left="0"/>
        <w:jc w:val="both"/>
      </w:pPr>
      <w:r>
        <w:rPr>
          <w:rFonts w:ascii="Times New Roman"/>
          <w:b w:val="false"/>
          <w:i w:val="false"/>
          <w:color w:val="000000"/>
          <w:sz w:val="28"/>
        </w:rPr>
        <w:t>
      TOPIX 100 (Tokyo Stock Price 100 Index) (Токио Сток Прайс 100 Индекс);</w:t>
      </w:r>
    </w:p>
    <w:bookmarkEnd w:id="98"/>
    <w:bookmarkStart w:name="z108" w:id="99"/>
    <w:p>
      <w:pPr>
        <w:spacing w:after="0"/>
        <w:ind w:left="0"/>
        <w:jc w:val="both"/>
      </w:pPr>
      <w:r>
        <w:rPr>
          <w:rFonts w:ascii="Times New Roman"/>
          <w:b w:val="false"/>
          <w:i w:val="false"/>
          <w:color w:val="000000"/>
          <w:sz w:val="28"/>
        </w:rPr>
        <w:t>
      NASDAQ-100 (Nasdaq-100 Index) (Насдак-100 Индекс).</w:t>
      </w:r>
    </w:p>
    <w:bookmarkEnd w:id="99"/>
    <w:bookmarkStart w:name="z109" w:id="100"/>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объемах, указанных в Таблице высоколиквидных активов страховой (перестраховочной) организации согласно приложению 5 к Нормативам.";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активов страховой (перестраховочной) организации с учетом их классификации по качеству и ликвидности согласно приложению 4,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пруденциального регулирования,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высоколиквидных активов страховой (перестраховочной) организации согласно приложению 5,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12" w:id="10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следующее изменение:</w:t>
      </w:r>
    </w:p>
    <w:bookmarkEnd w:id="101"/>
    <w:bookmarkStart w:name="z113"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утвержденных указанным постановлением: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15" w:id="10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следующее изменение:</w:t>
      </w:r>
    </w:p>
    <w:bookmarkEnd w:id="103"/>
    <w:bookmarkStart w:name="z116"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w:t>
            </w:r>
            <w:r>
              <w:br/>
            </w:r>
            <w:r>
              <w:rPr>
                <w:rFonts w:ascii="Times New Roman"/>
                <w:b w:val="false"/>
                <w:i w:val="false"/>
                <w:color w:val="000000"/>
                <w:sz w:val="20"/>
              </w:rPr>
              <w:t>группы и иных обязательных</w:t>
            </w:r>
            <w:r>
              <w:br/>
            </w:r>
            <w:r>
              <w:rPr>
                <w:rFonts w:ascii="Times New Roman"/>
                <w:b w:val="false"/>
                <w:i w:val="false"/>
                <w:color w:val="000000"/>
                <w:sz w:val="20"/>
              </w:rPr>
              <w:t>к соблюдению норм и лимитов</w:t>
            </w:r>
          </w:p>
        </w:tc>
      </w:tr>
    </w:tbl>
    <w:bookmarkStart w:name="z120" w:id="105"/>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"Aльтернативная"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"Aльтернативная"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с рейтингом не ниже "ВВ+" рейтингового агентства Standard &amp; Poor's (Стандард энд Пурс) или других рейтинговых агентств, 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крупное системообразующее предприятие, соответствующее следующим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выручка от реализации продукции (оказания услуг) составляет не менее 50 (пятидесяти) миллиардов тенге ежегодно за последние 2 (два) года </w:t>
            </w:r>
          </w:p>
          <w:p>
            <w:pPr>
              <w:spacing w:after="20"/>
              <w:ind w:left="20"/>
              <w:jc w:val="both"/>
            </w:pPr>
            <w:r>
              <w:rPr>
                <w:rFonts w:ascii="Times New Roman"/>
                <w:b w:val="false"/>
                <w:i w:val="false"/>
                <w:color w:val="000000"/>
                <w:sz w:val="20"/>
              </w:rPr>
              <w:t>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128" w:id="107"/>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управление инвестиционным</w:t>
            </w:r>
            <w:r>
              <w:br/>
            </w:r>
            <w:r>
              <w:rPr>
                <w:rFonts w:ascii="Times New Roman"/>
                <w:b w:val="false"/>
                <w:i w:val="false"/>
                <w:color w:val="000000"/>
                <w:sz w:val="20"/>
              </w:rPr>
              <w:t>портфелем</w:t>
            </w:r>
          </w:p>
        </w:tc>
      </w:tr>
    </w:tbl>
    <w:bookmarkStart w:name="z131" w:id="108"/>
    <w:p>
      <w:pPr>
        <w:spacing w:after="0"/>
        <w:ind w:left="0"/>
        <w:jc w:val="left"/>
      </w:pPr>
      <w:r>
        <w:rPr>
          <w:rFonts w:ascii="Times New Roman"/>
          <w:b/>
          <w:i w:val="false"/>
          <w:color w:val="000000"/>
        </w:rPr>
        <w:t xml:space="preserve"> Таблица расчета значений пруденциальных нормативов управляющего инвестиционным портфелем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09"/>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пруденциального</w:t>
            </w:r>
            <w:r>
              <w:br/>
            </w:r>
            <w:r>
              <w:rPr>
                <w:rFonts w:ascii="Times New Roman"/>
                <w:b w:val="false"/>
                <w:i w:val="false"/>
                <w:color w:val="000000"/>
                <w:sz w:val="20"/>
              </w:rPr>
              <w:t>регулирования,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обязательных</w:t>
            </w:r>
            <w:r>
              <w:br/>
            </w:r>
            <w:r>
              <w:rPr>
                <w:rFonts w:ascii="Times New Roman"/>
                <w:b w:val="false"/>
                <w:i w:val="false"/>
                <w:color w:val="000000"/>
                <w:sz w:val="20"/>
              </w:rPr>
              <w:t>к соблюдению организациями,</w:t>
            </w:r>
            <w:r>
              <w:br/>
            </w:r>
            <w:r>
              <w:rPr>
                <w:rFonts w:ascii="Times New Roman"/>
                <w:b w:val="false"/>
                <w:i w:val="false"/>
                <w:color w:val="000000"/>
                <w:sz w:val="20"/>
              </w:rPr>
              <w:t>осуществляющими брокерскую</w:t>
            </w:r>
            <w:r>
              <w:br/>
            </w:r>
            <w:r>
              <w:rPr>
                <w:rFonts w:ascii="Times New Roman"/>
                <w:b w:val="false"/>
                <w:i w:val="false"/>
                <w:color w:val="000000"/>
                <w:sz w:val="20"/>
              </w:rPr>
              <w:t>и (или) дилерскую деятельность</w:t>
            </w:r>
            <w:r>
              <w:br/>
            </w:r>
            <w:r>
              <w:rPr>
                <w:rFonts w:ascii="Times New Roman"/>
                <w:b w:val="false"/>
                <w:i w:val="false"/>
                <w:color w:val="000000"/>
                <w:sz w:val="20"/>
              </w:rPr>
              <w:t>на рынке ценных бумаг</w:t>
            </w:r>
          </w:p>
        </w:tc>
      </w:tr>
    </w:tbl>
    <w:bookmarkStart w:name="z135" w:id="110"/>
    <w:p>
      <w:pPr>
        <w:spacing w:after="0"/>
        <w:ind w:left="0"/>
        <w:jc w:val="left"/>
      </w:pPr>
      <w:r>
        <w:rPr>
          <w:rFonts w:ascii="Times New Roman"/>
          <w:b/>
          <w:i w:val="false"/>
          <w:color w:val="000000"/>
        </w:rPr>
        <w:t xml:space="preserve"> Таблица расчета значений пруденциальных нормативов организации, осуществляющей брокерскую и (или) дилерскую деятельность на рынке ценных бумаг</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 рынке ценных бумаг",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w:t>
            </w:r>
            <w:r>
              <w:rPr>
                <w:rFonts w:ascii="Times New Roman"/>
                <w:b w:val="false"/>
                <w:i w:val="false"/>
                <w:color w:val="000000"/>
                <w:sz w:val="20"/>
              </w:rPr>
              <w:t xml:space="preserve">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(Стандард энд Пурс)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