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b4ab" w14:textId="533b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марта 2020 года № 100 "Об утверждении Перечня вредных организмов, борьба с которыми осуществляется за счет бюджетных средств, и Правил проведения фитосанитарных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10 января 2022 года № 3. Зарегистрирован в Министерстве юстиции Республики Казахстан 20 января 2022 года № 26591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2020 года № 100 "Об утверждении Перечня вредных организмов, борьба с которыми осуществляется за счет бюджетных средств, и Правил проведения фитосанитарных мероприятий" (зарегистрирован в Реестре государственной регистрации нормативных правовых актов № 20213)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фитосанитарных мероприятий,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фитосанитарных мероприятий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(далее – Закон) и определяют порядок проведения фитосанитарных мероприятий.";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Закуп пестицидов, услуг по их хранению, транспортировке, химической обработке мест заселения нестадными саранчовыми с численностью выше ЭПВ осуществляется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 о государственных закупках)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утвержденными приказом Министра финансов Республики Казахстан от 11 декабря 2015 года № 648 (зарегистрирован в Реестре государственной регистрации нормативных правовых актов № 12590) (далее – Правила государственных закупок).";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Расчет потребности в специальной технике для проведения химических обработок мест заселения нестадными саранчовыми выше ЭПВ осуществляется с учетом погодно-климатических, географических условий и рельефа местности в течение 23 (двадцати трех) календарных дней, с нормой выработки: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судам сверхлегкой авиации – 1 500 гектаров за сутки;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судам легкой авиации – 1 200 гектаров за сутки;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аэрозольным генераторам всех типов – 750 гектаров за сутки;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вентиляторным и штанговым опрыскивателям – 100 гектаров за сутки;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атомайзерным, ультрамалообъемным опрыскивателям всех модификаций – 150 гектаров за сутки;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ранцевым опрыскивателям – 5 гектаров за сутки.";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Расчет потребности в специальной технике для проведения химических обработок против стадных саранчовых (азиатская, мароккская и итальянский прус) осуществляется с учетом погодно-климатических, географических условий и рельефа местности в течение 23 (двадцати трех) календарных дней, с нормой выработки: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судам сверхлегкой авиации – 1 500 гектаров за сутки;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судам легкой авиации – 1 200 гектаров за сутки;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аэрозольным генераторам всех типов – 750 гектаров за сутки;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вентиляторным и штанговым опрыскивателям – 100 гектаров за сутки;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атомайзерным, ультрамалообъемным опрыскивателям всех модификаций – 150 гектаров за сутки;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ранцевым опрыскивателям – 5 гектаров за сутки.".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