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8700" w14:textId="f138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апреля 2021 года № 5/41-VII. Зарегистрировано Департаментом юстиции Восточно-Казахстанской области 27 апреля 2021 года № 8684. Утратило силу решением Катон-Карагайского районного маслихата Восточно-Казахстанской области от 26 декабря 2023 года № 10/134-VIII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 (зарегистрировано в Реестре государственной регистрации нормативных правовых актов за номером 3328, опубликовано в районной газете "Луч" 23 мая 2014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Катон-Карагайского района в денежной 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Единовременная социальная помощь к памятным датам и праздничным дням предоставляется следующим категориям граждан: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342,818 месячных расчетных показателей;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35,998 месячных расчетных показателей;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месячных расчетных показателей;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34,282 месячных расчетных показателей;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- 34,282 месячных расчетных показателей;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- 34,282 месячных расчетных показателей;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- 20,569 месячных расчетных показателей;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- 34,282 месячных расчетных показателей;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(вступившим) в повторный брак - 10,285 месячных расчетных показателей;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- 35,998 месячных расчетных показателей;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месячных расчетных показателей;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месячных расчетных показателей.";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Документы предоставляются в подлинниках для сверки, после чего подлинники документов возвращаются заявителю.".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