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68ad" w14:textId="94e6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Глубочанка в створе земельных участков, предоставляемых для ведения личного подсобного хозяйства, в селе Прогресс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2021 года № 171. Зарегистрировано Департаментом юстиции Восточно-Казахстанской области 14 мая 2021 года № 8787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ff0000"/>
          <w:sz w:val="28"/>
        </w:rPr>
        <w:t>статьями 39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145-1</w:t>
      </w:r>
      <w:r>
        <w:rPr>
          <w:rFonts w:ascii="Times New Roman"/>
          <w:b w:val="false"/>
          <w:i w:val="false"/>
          <w:color w:val="ff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ff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Глубочанка в створе земельных участков, предоставляемых для ведения личного подсобного хозяйства, в селе Прогресс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Глубочанка в створе земельных участков, предоставляемых для ведения личного подсобного хозяйства, в селе Прогресс Глубоковского района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171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Глубочанка в створе земельных участков, предоставляемых для ведения личного подсобного хозяйства, в селе Прогресс Глубоковского района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666"/>
        <w:gridCol w:w="2051"/>
        <w:gridCol w:w="2889"/>
        <w:gridCol w:w="2051"/>
        <w:gridCol w:w="1666"/>
        <w:gridCol w:w="1085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410-550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