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58aa" w14:textId="4ae5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21 декабря 2020 года № 59/322-VI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5 мая 2021 года № 4/23-VII. Зарегистрировано Департаментом юстиции Туркестанской области 13 мая 2021 года № 6206.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№ 5/43-VII "О внесении изменений в решение Туркестанского областного маслихата от 11 декабря 2020 года № 54/557-VI "Об областном бюджете на 2021-2023 годы", зарегистрированного в Реестре государственной регистрации нормативных правовых актов № 6175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декабря 2020 года № 59/322-VI "О районном бюджете на 2021-2023 годы" (зарегистрировано в Реестре государственной регистрации нормативных правовых актов за № 5982, опубликовано 30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21 582 854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1 928 712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100 802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19 513 890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21 803 191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8 751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- 229 088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229 088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224 112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на 2021 год норматив распределения общей суммы поступления индивидуального подоходного налога с доходов, облагаемых у источника выплаты 50 процентов, по индивидуальному подоходному налогу с доходов иностранных граждан, не облагаемых у источника выплаты 50 процентов и социального налога в размере 50 процентов в областной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4/23-VII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59/322-VI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21582854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19513890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21803191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1603565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12054347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11620869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-229088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4/23-VII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59/322-VI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2020 год с разделением на бюджетные программы, направленные на реализацию бюджетных инвестиционных проектов (программ)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