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b6b8" w14:textId="df7b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Ордабасынского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5 марта 2021 года № 120. Зарегистрировано Департаментом юстиции Туркестанской области 5 марта 2021 года № 6085.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для трудоустройства лицам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Ордабасынского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Ордабасынского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Ордабасынского района А.Оралбаева.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"5" марта 2021 года № 120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"Центральная больница Ордабасынского района"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Шубарсу"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"Молодежный ресурсный центр" при отделе внутренней политики Ордабасынского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населения и социальных программ Ордабасынского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Кажымухан"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Караспан"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"Таза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"Нур-Агро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"5" марта 2021 года № 120</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"5" марта 2021 года № 120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Амангелды" отдела развития человеческого потенциала Ордабасынского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