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60c9" w14:textId="65f6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городе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29 января 2021 года № 2/13-VIІ. Зарегистрировано Департаментом юстиции Туркестанской области 4 февраля 2021 года № 6053. Утратило силу решением Туркестанского городского маслихата Туркестанской области от 19 декабря 2025 года № 37/170-VIII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19.12.2025 № 37/170-VIII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(зарегистрированного в Реестре государственной регистрации нормативных правовых актов за № 18883),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городе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2/13-VII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2021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в городе Туркестан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Туркестанского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ff0000"/>
          <w:sz w:val="28"/>
        </w:rPr>
        <w:t>№ 11/54-VII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государственной программы жилищного строительства, утвержденной Правительством Республики Казахстан, жилищной программы реализованной по поручению Главы Государства (жилищная программа "Наурыз"), определить размер жилищных сертификатов в городе Туркестан: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90 % от суммы первоначального взноса, но не более 1 500 000 (одного миллиона пятиста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90 % от суммы первоначального взноса, но не более 1 500 000 (одного миллиона пятиста тысяч) тенге в виде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Жилищный сертификат определяется в едином размере не превышающем 1 500 000 (одного миллиона пятиста тысяч) тенге для каждого 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Туркестанского городского маслихата Туркестанской области от 01.11.2024 </w:t>
      </w:r>
      <w:r>
        <w:rPr>
          <w:rFonts w:ascii="Times New Roman"/>
          <w:b w:val="false"/>
          <w:i w:val="false"/>
          <w:color w:val="000000"/>
          <w:sz w:val="28"/>
        </w:rPr>
        <w:t>№ 24/103-VIII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социально уязвимых слоев населения,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востребованные специалисты, осуществляющие трудовую деятельность в отрасли здравоохранения, образования, культуры и спорта, на основе результатов национальной системы прогнозирования трудовых ресурсов (прогноза потребности в кадрах на основе результатов опроса),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№161 "Об утверждении Правил формирования национальной системы прогнозирования трудовых ресурсов и использования ее результатов" (зарегистрированного в Реестре государственной регистрации нормативных правовых актов под №32546).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Туркестанского городского маслихата Туркестанской области от 13.12.2023. </w:t>
      </w:r>
      <w:r>
        <w:rPr>
          <w:rFonts w:ascii="Times New Roman"/>
          <w:b w:val="false"/>
          <w:i w:val="false"/>
          <w:color w:val="000000"/>
          <w:sz w:val="28"/>
        </w:rPr>
        <w:t>№ 10/45-VIII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