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3d10" w14:textId="1433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Городецкого сельского округа района Шал акына Северо-Казахстанской области от 08 октября 2010 года №7 "О присвоении наименований составным частям населенных пунктов Городецкого сельского округа района Шал акына"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Городецкого сельского округа района Шал акына Северо-Казахстанской области от 26 января 2021 года № 1. Зарегистрировано Департаментом юстиции Северо-Казахстанской области 26 января 2021 года № 7107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статьb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Городецкого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Городецкого сельского округа района Шал акына Северо-Казахстанской области "О присвоении наименований составным частям населенных пунктов Городецкого сельского округа района Шал акына" от 08 октября 2010 года №7 (опубликовано в районных газетах "Парыз", "Новатор" от 05 ноября 2010 года, зарегистрировано в Реестре государственной регистрации нормативных правовых актов под №13-14-115)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и по всему тексту решения на государственном языке слова "селолық", "селосы" заменить соответственно словами "ауылдық", "ауылы";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и текст решения на русском языке оставить без изменения.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