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e94" w14:textId="af6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архитектурного облика и градостроительного планирования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 cессии маслихата города Алматы VII созыва от 31 мая 2021 года № 49. Зарегистрировано Министерством юстиции Республики Казахстан 7 июня 2021 года № 22946.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</w:t>
      </w:r>
      <w:r>
        <w:rPr>
          <w:rFonts w:ascii="Times New Roman"/>
          <w:b w:val="false"/>
          <w:i w:val="false"/>
          <w:color w:val="000000"/>
          <w:sz w:val="28"/>
        </w:rPr>
        <w:t>6) пункта 1 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Казахстан", маслихат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архитектурного облика и градостроительного планирования города Алматы, cогласно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cессии маслихата города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 № 49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архитектурного облика и градостроительного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города Алматы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 и определяют порядок формирования архитектурного облика и градостроительного планирования города Алматы с учетом исторических, ландшафтно-природных, функциональных, местных особенностей (далее – Правила).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жилищное строительство –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переоборудование – изменение помещения (помещений), связанное с изменением его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 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перепланировка – изменение планировки помещения (помещений), сопряженное с изменением границ этого помещения (этих помещений);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– замысел физических и юридических лиц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строительства, и (или) проектно-сметной документации, раскрывающих сущность замысла и возможность его практической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архитектурный облик (Дизайн код) – это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детальной планировки – градостроительная документация, разрабатываемая для отдельных частей территорий и функциональных зон населенных пунктов, а также территорий, расположенных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территория населенного пункта – пространство в пределах установленной границы (черты)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Генеральный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градостроительный проект комплексного планирования развития и застройки города,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градостроительные регламенты –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устанавливаются градостроительной и архитектурно-строительной документацией, выполненной в соответствии с государственными нормативами. Действие градостроительных регламентов ограничивается в пределах установленного для них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территория градостроительного регулирования – территория, в пределах которой осуществляется какая-либо архитектурная, градостроительная и строительная деятельность.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настоящих Правил являются: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комплексного подхода и развитие качественной городской среды, соответствующей современным потребностям жителей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архитектурными и градостроительными инструментами процесс системного и устойчивого развития всей территории города.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архитетурного облика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градостроительного планирования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архитектурного облика и градостроительного планирования города Алматы необходимо: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общественные обсуждения открыто и публично, учитывать мнение общественных слушателей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действующие на территории Республики Казахстан нормативно-технические требования, </w:t>
      </w:r>
      <w:r>
        <w:rPr>
          <w:rFonts w:ascii="Times New Roman"/>
          <w:b w:val="false"/>
          <w:i w:val="false"/>
          <w:color w:val="000000"/>
          <w:sz w:val="28"/>
        </w:rPr>
        <w:t>Генеральный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 также требования к застройке с учетом сейсмического микрорайонирования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пространственно создавать и сохранять уникальный силуэт города, живописную панораму гор Заилийского Алатау с формированием ансамблевой застройки городских улиц;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градостроительными и архитектурными методами нормативную и естественную проветриваемость территории города, инсоляцию и защищенность от средового шума;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компактно размещать и взаимно увязывать функциональные зоны с системой общественных центров, объектами социального и повседневного обеспечения, инженерной и транспортной инфраструктурой с учетом требований шаговой доступности;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комплексную безопасность территории и ее защиту от воздействия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градостроительный и высотный регламент на территории города.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зонам особого градостроительного регулирования в городе Алматы относятся территории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Генеральным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города, в том числе по использованию земель, существующих объектов недвижимости исходя из общественных, градостроительных, экономических, экологических, рекреационных, культурных, исторических и других факторов влияющих на устойчивое развитие территории города.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к застройке в зонах особого градостроительного регулирования: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допустимая этажность в соответствии с высотным регламентом устанавливаемый действующими государственными нормативами в области архитектуры, градостроительства и строительства, нормативно-техническими документами и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по плотности и коэффициенту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архитектурные решения фасадов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 охранной зоне памятников истории и культуры.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зонам особого градостроительного регулирования относятся следующие территории города: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исторический центр, в пределах границ утверждаемых </w:t>
      </w:r>
      <w:r>
        <w:rPr>
          <w:rFonts w:ascii="Times New Roman"/>
          <w:b w:val="false"/>
          <w:i w:val="false"/>
          <w:color w:val="000000"/>
          <w:sz w:val="28"/>
        </w:rPr>
        <w:t>Генеральным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зоны памятников истории и культуры.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границах исторического центра, а также охранных зонах памятников истории и культуры подлежат сохранению или восстановлению все градостроительные объекты и их характеристики, культурная ценность.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границах исторического центра допускается проведение реставрационных работ и иных работ по восстановлению или сохранению памятников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переоборудование жилых зданий и (или) их первых этажей под объекты предпринимательской деятельности, без строительства пристроек, с сохранением фасадных решений и благоустройства;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границах охранных зон памятников истории и культуры не допускается нарушение структуры и стиля исторических зданий, пропорций и высотности.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превышение максимально допустимой высоты, равно как и превышение средней высотности окружающей застройки, нарушение масштаба архитектурного решения в исторической зоне и охранных зонах памятников истории и культуры в радиусе до 50 метров.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условий устойчивого развития территории, формирования качественной и комфортной среды на территории города применяется минимальная и максимальная плотность населения на 1 гектар, в зависимости от функционального зонирования, существующей градостроительной ситуации.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Плотность населения на территории города для застройки необходимо рассчитывать в порядке с действующими государственными нормативами в области архитектуры, градостроительства и строительства, с учетом оценки стоимости земли, ресурсных возможностей инженерных и транспортных коммуникаций, наличия достаточных мест на объектах социального назначения в шаговой доступности, наличия историко-культурных и архитектурно-ландшафтных ценностей, но не более 440 человек на 1 гектар при квартальной застройке, в историческом центре не более 300 человек на 1 гектар.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Границы расчетной территории требуется устанавливать по красным линиям границам участков застройки, по осям межквартальных проездов, пешеходных путей, или естественным рубежам, а при их отсутствии – на расстоянии 3 метров от линии застройки.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Среднюю жилищную обеспеченность, для расчета плотности, нового строительства на территории города применять не менее 18-25 квадратных метров, в зависимости от класса на одного человека жилой площади.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допускается увеличивать на 20 процентов, при соблюдении следующих одновременных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достаточной инженерной инфраструктуры требующиеся для строительства и устойчивого функционирования введенного впоследствии в эксплуатацию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транспортной доступности, подземных или многоуровневых паркингов;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встроенно-пристроенных детских садов и дошкольных учреждений на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открытых зеленых зон на территориях в рамках нормативной обеспеченности в шаговой доступности и мест для сбора при землетрясении;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достаточного уровня обеспеченности в шаговой доступности местами в школах начального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объектов повседневного обслуживания в радиусе не более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нормативных правовых актов в сфере санитарно-эпидемиологического благополучия населения, нормативных актов и нормативных технических документов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придомовой территории 10 квадратных метров на одного жителя (с учетом площадок для хозяйственных и рекреационных нужд, парковок, благоустройства и озеленения).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застройки необходимо принимать в соответствии с государственными нормативами в области архитектуры, градостроительства и строительства.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Минимальная величина разрывов (бытовые расстояния) между длинными сторонами многоквартирных жилых зданий линейного типа: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застройке домами: 4-5 этажей не менее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застройке домами: 6-12 этажей не менее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застройке домами: 13-16 этажей не менее 48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застройке домами: 17 этажей и выше не менее 50 метров.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Минимальная величина разрывов (бытовые расстояния) между короткими и длинными сторонами зданий линейного типа: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застройке домами: 4-5 этажей не менее 12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застройке домами: 6-12 этажей не менее 15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застройке домами: 13-16 этажей не менее 24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застройке домами: 17 этажей и выше не менее 45 метров.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высотных зданий вдоль пешеходных улиц, эвакуационных выездов из кварталов;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дошкольных образовательных организаций и общеобразовательных организаций во встроенных в высотные здания помещениях выше 12 этажей, а также над подземными и пристроенными стоянками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минимальная величина разрывов между жилыми или общественными зданиями до 3 этажей (не более 12 метров по высоте от отметки уровня земли до конька кровли, определяется в соответствии с нормами инсоляции и допустимыми противопожарными разрывами).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свободных от застройки территорий под жилищно-гражданские объекты на площадках с крутизной склонов более 45 градусов, близостью плоскостей сбросов, сильной нарушенностью пород физико-геологическими процессами, обвалами, плывунами, оползнями, карстом, горными выработками, возможностью прохождения селей.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безопасности от техногенных и природных факторов влияющих на жизнь и здоровье человека при градостроительном освоении территории города, необходимо соблюдать условия и нормативные требования при проектировании, строительстве и эксплуатации на площадках, с учетом сейсмичности 8, 9, 10 баллов, согласно карты сейсмомикрозонирования города и с повышенным показателем консистенции влажности и подъҰма грунтовых вод на отдельных участках.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размещении зданий башенного типа расстояние следует принимать с учетом норм обеспечения инсоляции всех жилых помещений но не менее 23 метров в случае размещения в одну линию с объединенным объҰмом первых этажей.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проектирования и строительства жилых и не жилых зданий на территории города вне пределах зон особого градостроительного регулирования необходимо учитывать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жилого и нежилого назначения следует располагать от красных линий магистральных улиц города не менее 6 метров, дорог местного значения не менее 3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обеспеченности территории строительства детскими, дошкольными учреждениями в шаговой доступности с учетом предполагаемой плотности населения (места в детских дошкольных учреждениях дошкольного возраста не менее 100 мест на тысяч 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обеспеченности общеобразовательными учреждениями в шаговой доступности с учетом предполагаемой плотности населения (не менее 180 мест на тысяч 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обеспеченности амбулаторно-поликлиническими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участкового пункта полиции (из расчета 1 участковый инспектор полиции на 3 тысячи человек, минимальная площадь для участкового пункта полиции должна быть не менее 45 квадратных метров).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Фасады зданий и сооружений на территории города должны отражать отличительные эстетические характеристики качества города и окружающей градостроительной среды (стилевую и композиционную целостность, ритм, соразмерность и пропорциональность, визуальное восприятие, баланс открытых и закрытых пространств), соответствовать архитектурно-градостроительному облику, предусмотренному в проектной документации и (или) согласованному эскизному проекту.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Расположение окон и витрин на фасаде, их габариты, характер устройства и внешний вид, включая цветовое решение, должны соответствовать технической документации здания, системе горизонтальных и вертикальных осей, симметрии, регулярности по высоте, ритму, объемно-пространственному решению здания, предусмотренных проектом здания.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Устройство и оборудование входных групп (входов) осуществляется в соответствии с согласованной и утвержденной проектной документацией, с учетом обеспечения надежности, безопасности конструкций, исключая ущерб для внешнего вида фасада здания и архитектурно-планировочного замысла, удобства и безопасности пешеходного и транспортного движения.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сохранения внешнего архитектурного облика зданий, для визуальной доступности декоративно-художественных элементов и минимального нанесения материального ущерба фасадам, входные группы (входы) оборудуются легкими типовыми прозрачными навесами безопасности из противоударного высокопрочного стекла на подвесных или опорных кронштейнах согласно проекту.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Расположение лоджий и балконов на фасадах зданий, характер их устройства и внешний вид должны соответствовать архитектурному решению фасада, предусмотренного проектной документацией или архитектурному паспорту фасада.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Балконы, лоджии, эркеры должны быть единообразными по всей высоте здания (не зависимо от этажа и месторасположения балкона, лоджии, эркера в здании) и соответствовать проектной документации, применяемой при строительстве здания или сооружения.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Цветовое решение балконов и лоджий должно соответствовать особенностям архитектурного решения фасада согласно проектной документации здания или архитектурному паспорту фасада.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технического оборудования необходимо производить без ущерба для внешнего вида архитектуры и технического состояния фасадов, с учетом комплексного решения размещения оборудования при минимальном контакте с архитектурными поверхностями, рациональном устройстве и технологичности крепежа, использовании стандартных конструкций крепления.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Эксплуатация инженерного оборудования не должна наносить ущерб внешнему виду и техническому состоянию фасада, причинять неудобства окружающим.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архитектурного облика и градостроительного планирования необходимо организовать: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парковочные места на расстоянии от жилых зданий не менее 10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малых архитектурных форм, выдержанных в едином стиле согласно архитектурному облику (Дизайн коду) (оборудования для маломобильных групп населения, скамьи, урны, вазоны, детские игровые комплексы);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 барьерную пешеходную среду для маломобильных групп населения (пандусы, тактильные плитки);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покрытий дворовой территории в зависимости от назначения (асфальтовое покрытие, плиточное покрытие, резиновое покрытие детской или спортивной площадки);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высокого уровня безопасности и комфортности территории (организация достаточного освещения дворов);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зоны отдыха и хозяйственные зоны.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Архитектурному освещению подлежат: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особой исторической и архитектурной значимости: памятники истории, архитектуры, монументы, фонтаны и садово-паркового искусства, включая воссозданные, с учетом режимов охранных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особой общественной значимости: здания, предназначенные для осуществления городских функций и функций административных центров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культовые объекты, культурные центры, театры, кинотеатры, концертные залы, музеи и выставочные центры, вокзалы, аэропорт, подземные и наземные переходы, спортивные и гостиничные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высотные здания, телевизионные и радиовышки, пешеходные и автомобильные мосты;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особой значимости: общественные и жилые здания, расположенные на планировочных осях площадей, осях и изгибах радиальных и кольцевых магистралей и набережных рек города, магистралей, набережных и бульваров, на их пересечениях; производственные здания, инженерные сооружения (трубы, строительные краны, высокомачтовые осветительные установки), находящиеся вдоль основных автомагистралей.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Проектирование, строительство инженерных сетей и сооружений осуществляется с последующей передачей сетей на баланс соответствующих служб города.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Прокладку открытым способом допускается осуществлять путем строительства коммуникационных тоннелей, каналов.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Проектирование инженерных сетей осуществляется в пределах зон инженерных коридоров.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Проектирование и строительство инженерных сетей и автомобильных дорог необходимо осуществлять в пределах красных линий улиц, утверждаемых в градостроительной документации города (</w:t>
      </w:r>
      <w:r>
        <w:rPr>
          <w:rFonts w:ascii="Times New Roman"/>
          <w:b w:val="false"/>
          <w:i w:val="false"/>
          <w:color w:val="000000"/>
          <w:sz w:val="28"/>
        </w:rPr>
        <w:t>Генеральном плане</w:t>
      </w:r>
      <w:r>
        <w:rPr>
          <w:rFonts w:ascii="Times New Roman"/>
          <w:b w:val="false"/>
          <w:i w:val="false"/>
          <w:color w:val="000000"/>
          <w:sz w:val="28"/>
        </w:rPr>
        <w:t>, проектах детальной планировки и (или) проектах застройки), с обоснованием, при необходимости, в стесненных, горных, высоко-горных условиях или на охраняемых природных территориях параметров элементов плана, уклонов продольного профиля, параметров поперечного профиля улиц и дорог, включая тротуары и велодорожки, расчетом в зависимости от существующей скорости движения и габаритов расчетного автомобиля с разработкой мероприятий, обеспечивающих безопасность движения с расчетными скоростями.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Строительство, реконструкция и ремонт дорожных покрытий городских улиц и внутриквартальных территорий необходимо производить в соответствии с требованиями действующих нормативных правовых актов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разработке проектов организации дорожного движения, строительства, реконструкции и ремонта дорог, а также при содержании и эксплуатации улично-дорожной сети города применять: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улицах и дорогах с интенсивным движением транспорта, с количеством полос более двух в обоих направлениях, транспортных развязках, улицах с выделенной полосой для общественного транспорта долговечные разметочные материалы (двухкомпонентный пластик холодного нанесения). Ширину продольных линий разметки предусматривать – 0,15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остальных улицах города при количестве полос движения двух и менее в обоих направлениях, материал для дорожной разметки линий применяется в соответствии с результатами расчетов. Ширину продольных линий разметки предусматривать – 0,12 метров.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проводить строительно-монтажные работы инженерных сетей по проектам строительства в период отопительного сезона: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реконструкции и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подземных инженерных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 контактной сети, освещения и линий электропередач, и другие работы, связанные с разрытием грунта или вскрытием дорожных покрытий в пределах красных линий улиц.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