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391f" w14:textId="d4b3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Бухар-Жырауского районного маслихата от 5 января 2021 года № 4 "О бюджетах сел, поселков и сельских округов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апреля 2021 года № 5. Зарегистрировано Департаментом юстиции Карагандинской области 6 мая 2021 года № 6328.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Бухар-Жырауского районного маслихата от 5 января 2021 года № 4 "О бюджетах сел, поселков и сельских округов района на 2021-2023 годы" (зарегистрировано в Реестре государственной регистрации нормативных правовых актов за № 6146,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229 630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218 630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237 041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7 411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109 250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103 750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112 281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3 031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104 127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6 320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97 807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104 128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90 107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82 507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102 791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12 684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79 213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72 663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83 275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55 109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1 337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53 772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55 112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тысяч тенге. 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60 233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2 640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57 593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63 234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57 645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1 340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56 305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58 921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83 751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3 610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79 751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86 128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159 600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14 000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145 600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170 102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10 502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41 845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593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41 252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42 533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40 388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520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39 868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40 776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25 897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35 077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34 577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35 308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40 570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39 886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40 676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Бухар-Жырауского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51 745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51 245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52 160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41 804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1 782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40 022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42 945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54 126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836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53 290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54 522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45 845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880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44 965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46 042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64 988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1 040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63 948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65 390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49 316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913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48 403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49 913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51 051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50 141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51 306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59 752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2 170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57 582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59 752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64 770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1 350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63 420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65 244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35 806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35 590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35 848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24 317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39 040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2 700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36 340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39 631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60 234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59 534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60 670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43 156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42 489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43 157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51 205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2 210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48 995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51 904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36 021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740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35 281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36 172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Юртанова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50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50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2021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51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2021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2021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2021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2021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2021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2021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2021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2021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2021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2021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2021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2021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2021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2021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2021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2021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2021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2021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2021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2021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2021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2021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2021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