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3d7" w14:textId="190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февраля 2021 года № 2/16. Зарегистрировано Департаментом юстиции Карагандинской области 22 февраля 2021 года № 6200.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Балхаша,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празднику Новый год - 1-2 января: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 празднику День защитника Отечества Республики Казахстан – 7 мая: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 Дню Победы - 9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ставшими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наличие социально значимого заболевания, вызванного вирусом иммунодефицита человека и носители вируса иммунодефицита человека, в том числе у детей;";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Документы представляются в подлинниках для сверки, после чего подлинники документов возвращаются заявителю.";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 года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заявителя_________________________________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_________________________________________________________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помощью___________________________________________________________ ________________________________________________________________________________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категорию)______________________________________________________________________ ___________________________________________________________________________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_____________________________________________________ ____________________________________________________________________________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семьи: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 ____________________________________________________________________________.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эксплуатации)___________________________________________________________________ __________________________________________________________________________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_____________________ _________________________________________________________________________ ____________________________________________________________________________ ____________________________________________________________________________.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_____________________________________ ____________________________________________________________________________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 ____________________________________________________________________________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____________________________________________________________________________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________________________________________________________________________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