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378" w14:textId="8c76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на территории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32. Зарегистрировано Департаментом юстиции Карагандинской области 1 марта 2021 года № 6218.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Карагандинского областного маслихата по промышленности, развитию малого и среднего бизнеса, аграрным и земельным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 Карагандинской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на территории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выпаса сельскохозяйственных животных, утвержденных приказом Министра сельского хозяйства Республики Казахстан от 29 апреля 2020 года №145 (зарегистрирован в Реестре государственной регистрации нормативных правовых актов №20540) и определяют порядок выпаса сельскохозяйственных животных на территории Карагандинской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безнадзорные животные – сельскохозяйственные животные, передвигающиеся без сопровождающих лиц и вне отведенных мест для выпаса;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загоны для временного содержания безнадзорных животных – огороженный участок или животноводческое помещение, имеющее необходимые условия для их содержания и пользования;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Республики Казахстан №11127).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№18-02/909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Республики Казахстан №12259).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Карагандинской области приурочивается к периоду устойчивого перехода температуры воздуха выше +10 градусов по Цельсию.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Экологического кодекса Республики Казахстан от 9 января 2007 года.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Карагандинской области применяются системы сезонного и круглогодичного выпаса сельскохозяйственных животных на пастбищах.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Карагандинской области имеют сезонный характер, так эфемеровые пастбища могут использоваться весной, дерновинно-злаковые и горные – летом, а эфемерово-полынные, как весной, так и осенью.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65%.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Горные пастбища можно использовать с коэффициентом 70%, как и участки с весенней эфемеровой растительностью.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–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Республики Казахстан №11064).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пастбищ, пастбища предоставляются в пределах города районного значения, поселка, села, сельского округа согласно Плану.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18 изложен в новой редакции на казахском языке, текст на русском языке не меняется решением Карагандинского областного маслихата от 17.03.2022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необеспеченных пастбищами,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Выпас сельскохозяйственных животных на пастбищах заканчивается с залеганием снежного покрова высотой 15-20 см.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животных, необеспеченные пастбищами,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4-5% всей обслуживаемой территории.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– 3,8 км.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путем проведения сходов, опубликования на сайтах местных исполнительных органов, в печатных изданиях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пастбищ, путем проведения сходов, опубликования на сайтах местных исполнительных органов, в печатных изданиях;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животных, необеспеченных пастбищами, в пределах города районного значения, поселка, села, сельского округа на отгонные пастбища;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животных, необеспеченных пастбищами, в пределах населенных пунктов на отгонные пастбища.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настоящих Правил влечет ответственность, предусмотренную законодательством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17.03.2022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 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